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73" w:rsidRPr="006B59D6" w:rsidRDefault="002C7C73" w:rsidP="002C7C73">
      <w:pPr>
        <w:pStyle w:val="Zkladntext"/>
        <w:jc w:val="center"/>
        <w:rPr>
          <w:b/>
        </w:rPr>
      </w:pPr>
      <w:r w:rsidRPr="006B59D6">
        <w:rPr>
          <w:b/>
          <w:sz w:val="44"/>
        </w:rPr>
        <w:t>Rada Jihomoravského kraje</w:t>
      </w:r>
    </w:p>
    <w:p w:rsidR="002C7C73" w:rsidRPr="006B59D6" w:rsidRDefault="008D1FC9" w:rsidP="003F1324">
      <w:pPr>
        <w:pBdr>
          <w:bottom w:val="single" w:sz="18" w:space="1" w:color="auto"/>
        </w:pBdr>
        <w:jc w:val="center"/>
        <w:rPr>
          <w:sz w:val="36"/>
        </w:rPr>
      </w:pPr>
      <w:r>
        <w:rPr>
          <w:sz w:val="28"/>
        </w:rPr>
        <w:t>150.</w:t>
      </w:r>
      <w:r w:rsidR="002C7C73" w:rsidRPr="006B59D6">
        <w:rPr>
          <w:sz w:val="28"/>
        </w:rPr>
        <w:t xml:space="preserve"> schůze konaná </w:t>
      </w:r>
      <w:r w:rsidR="00465B8F" w:rsidRPr="006B59D6">
        <w:rPr>
          <w:sz w:val="28"/>
        </w:rPr>
        <w:t>dne 30.</w:t>
      </w:r>
      <w:r w:rsidR="00D61867" w:rsidRPr="006B59D6">
        <w:rPr>
          <w:sz w:val="28"/>
        </w:rPr>
        <w:t xml:space="preserve"> </w:t>
      </w:r>
      <w:r w:rsidR="000D6D97" w:rsidRPr="006B59D6">
        <w:rPr>
          <w:sz w:val="28"/>
        </w:rPr>
        <w:t>6</w:t>
      </w:r>
      <w:r w:rsidR="00F65E4C" w:rsidRPr="006B59D6">
        <w:rPr>
          <w:sz w:val="28"/>
        </w:rPr>
        <w:t>.</w:t>
      </w:r>
      <w:r w:rsidR="00D61867" w:rsidRPr="006B59D6">
        <w:rPr>
          <w:sz w:val="28"/>
        </w:rPr>
        <w:t xml:space="preserve"> </w:t>
      </w:r>
      <w:r w:rsidR="000B779B" w:rsidRPr="006B59D6">
        <w:rPr>
          <w:sz w:val="28"/>
        </w:rPr>
        <w:t>2016</w:t>
      </w:r>
    </w:p>
    <w:p w:rsidR="007726AC" w:rsidRPr="006B59D6" w:rsidRDefault="007726AC" w:rsidP="002C7C73">
      <w:pPr>
        <w:rPr>
          <w:sz w:val="28"/>
        </w:rPr>
      </w:pPr>
    </w:p>
    <w:p w:rsidR="002C7C73" w:rsidRPr="006B59D6" w:rsidRDefault="002C7C73" w:rsidP="007726AC">
      <w:pPr>
        <w:tabs>
          <w:tab w:val="left" w:pos="2835"/>
        </w:tabs>
      </w:pPr>
      <w:r w:rsidRPr="006B59D6">
        <w:t xml:space="preserve">Materiál k bodu č. </w:t>
      </w:r>
      <w:r w:rsidR="00CC26CA">
        <w:t>138</w:t>
      </w:r>
      <w:r w:rsidR="00953F2E" w:rsidRPr="006B59D6">
        <w:t xml:space="preserve"> </w:t>
      </w:r>
      <w:r w:rsidRPr="006B59D6">
        <w:t>programu:</w:t>
      </w:r>
    </w:p>
    <w:p w:rsidR="002C7C73" w:rsidRPr="006B59D6" w:rsidRDefault="002C7C73" w:rsidP="002C7C73"/>
    <w:p w:rsidR="002C7C73" w:rsidRPr="006B59D6" w:rsidRDefault="002C7C73" w:rsidP="002C7C73"/>
    <w:p w:rsidR="006A5D45" w:rsidRPr="006B59D6" w:rsidRDefault="006A5D45" w:rsidP="006A5D45">
      <w:pPr>
        <w:jc w:val="center"/>
        <w:rPr>
          <w:b/>
          <w:i/>
          <w:sz w:val="40"/>
          <w:szCs w:val="40"/>
        </w:rPr>
      </w:pPr>
      <w:r w:rsidRPr="006B59D6">
        <w:rPr>
          <w:b/>
          <w:i/>
          <w:sz w:val="40"/>
          <w:szCs w:val="40"/>
        </w:rPr>
        <w:t xml:space="preserve">Nezávislá právní </w:t>
      </w:r>
      <w:r w:rsidR="00A1075D">
        <w:rPr>
          <w:b/>
          <w:i/>
          <w:sz w:val="40"/>
          <w:szCs w:val="40"/>
        </w:rPr>
        <w:t xml:space="preserve">a ekonomická </w:t>
      </w:r>
      <w:r w:rsidRPr="006B59D6">
        <w:rPr>
          <w:b/>
          <w:i/>
          <w:sz w:val="40"/>
          <w:szCs w:val="40"/>
        </w:rPr>
        <w:t>analýza</w:t>
      </w:r>
    </w:p>
    <w:p w:rsidR="006A5D45" w:rsidRPr="006B59D6" w:rsidRDefault="006A5D45" w:rsidP="006A5D45">
      <w:pPr>
        <w:jc w:val="center"/>
        <w:rPr>
          <w:b/>
          <w:bCs/>
          <w:i/>
          <w:spacing w:val="-9"/>
          <w:sz w:val="40"/>
          <w:szCs w:val="40"/>
        </w:rPr>
      </w:pPr>
      <w:r w:rsidRPr="006B59D6">
        <w:rPr>
          <w:b/>
          <w:i/>
          <w:sz w:val="40"/>
          <w:szCs w:val="40"/>
        </w:rPr>
        <w:t>smluv s provozovatelem letiště</w:t>
      </w:r>
    </w:p>
    <w:p w:rsidR="002C7C73" w:rsidRPr="006B59D6" w:rsidRDefault="002C7C73" w:rsidP="000D6D97">
      <w:pPr>
        <w:jc w:val="center"/>
      </w:pPr>
      <w:r w:rsidRPr="006B59D6">
        <w:t>(důvodová zpráva je uvnitř materiálu)</w:t>
      </w:r>
    </w:p>
    <w:p w:rsidR="000B779B" w:rsidRPr="006B59D6" w:rsidRDefault="000B779B" w:rsidP="002C7C73">
      <w:pPr>
        <w:tabs>
          <w:tab w:val="num" w:pos="720"/>
        </w:tabs>
        <w:jc w:val="both"/>
        <w:rPr>
          <w:bCs/>
        </w:rPr>
      </w:pPr>
    </w:p>
    <w:p w:rsidR="000B779B" w:rsidRPr="006B59D6" w:rsidRDefault="000B779B" w:rsidP="002C7C73">
      <w:pPr>
        <w:tabs>
          <w:tab w:val="num" w:pos="720"/>
        </w:tabs>
        <w:jc w:val="both"/>
        <w:rPr>
          <w:bCs/>
        </w:rPr>
      </w:pPr>
    </w:p>
    <w:p w:rsidR="000D6D97" w:rsidRPr="006B59D6" w:rsidRDefault="000D6D97" w:rsidP="000D6D97">
      <w:pPr>
        <w:tabs>
          <w:tab w:val="left" w:pos="1985"/>
        </w:tabs>
        <w:jc w:val="both"/>
      </w:pPr>
    </w:p>
    <w:p w:rsidR="000D6D97" w:rsidRPr="006B59D6" w:rsidRDefault="000D6D97" w:rsidP="000D6D97">
      <w:pPr>
        <w:ind w:left="2127" w:hanging="2127"/>
        <w:jc w:val="both"/>
        <w:rPr>
          <w:b/>
          <w:u w:val="single"/>
        </w:rPr>
      </w:pPr>
      <w:r w:rsidRPr="006B59D6">
        <w:rPr>
          <w:b/>
          <w:u w:val="single"/>
        </w:rPr>
        <w:t>Návrh na usnesení:</w:t>
      </w:r>
    </w:p>
    <w:p w:rsidR="000D6D97" w:rsidRPr="006B59D6" w:rsidRDefault="000D6D97" w:rsidP="000D6D97">
      <w:pPr>
        <w:ind w:left="2127" w:hanging="2127"/>
        <w:jc w:val="both"/>
      </w:pPr>
    </w:p>
    <w:p w:rsidR="000D6D97" w:rsidRPr="006B59D6" w:rsidRDefault="000D6D97" w:rsidP="000D6D97">
      <w:pPr>
        <w:ind w:left="2127" w:hanging="2127"/>
        <w:jc w:val="both"/>
      </w:pPr>
    </w:p>
    <w:p w:rsidR="000D6D97" w:rsidRPr="006B59D6" w:rsidRDefault="000D6D97" w:rsidP="000D6D97">
      <w:pPr>
        <w:pStyle w:val="Default"/>
        <w:jc w:val="both"/>
        <w:rPr>
          <w:rFonts w:ascii="Times New Roman" w:hAnsi="Times New Roman" w:cs="Times New Roman"/>
        </w:rPr>
      </w:pPr>
      <w:r w:rsidRPr="006B59D6">
        <w:rPr>
          <w:rFonts w:ascii="Times New Roman" w:hAnsi="Times New Roman" w:cs="Times New Roman"/>
        </w:rPr>
        <w:t xml:space="preserve">Rada Jihomoravského kraje </w:t>
      </w:r>
      <w:r w:rsidR="002442C6">
        <w:rPr>
          <w:rFonts w:ascii="Times New Roman" w:hAnsi="Times New Roman" w:cs="Times New Roman"/>
        </w:rPr>
        <w:t xml:space="preserve">v souladu s </w:t>
      </w:r>
      <w:r w:rsidRPr="006B59D6">
        <w:rPr>
          <w:rFonts w:ascii="Times New Roman" w:hAnsi="Times New Roman" w:cs="Times New Roman"/>
        </w:rPr>
        <w:t>ust</w:t>
      </w:r>
      <w:r w:rsidR="002442C6">
        <w:rPr>
          <w:rFonts w:ascii="Times New Roman" w:hAnsi="Times New Roman" w:cs="Times New Roman"/>
        </w:rPr>
        <w:t>anovením</w:t>
      </w:r>
      <w:r w:rsidRPr="006B59D6">
        <w:rPr>
          <w:rFonts w:ascii="Times New Roman" w:hAnsi="Times New Roman" w:cs="Times New Roman"/>
        </w:rPr>
        <w:t xml:space="preserve"> § 59 odst. </w:t>
      </w:r>
      <w:r w:rsidR="002442C6">
        <w:rPr>
          <w:rFonts w:ascii="Times New Roman" w:hAnsi="Times New Roman" w:cs="Times New Roman"/>
        </w:rPr>
        <w:t xml:space="preserve">1 písm. i) a odst. </w:t>
      </w:r>
      <w:r w:rsidRPr="006B59D6">
        <w:rPr>
          <w:rFonts w:ascii="Times New Roman" w:hAnsi="Times New Roman" w:cs="Times New Roman"/>
        </w:rPr>
        <w:t xml:space="preserve">3 zákona </w:t>
      </w:r>
      <w:r w:rsidR="002442C6">
        <w:rPr>
          <w:rFonts w:ascii="Times New Roman" w:hAnsi="Times New Roman" w:cs="Times New Roman"/>
        </w:rPr>
        <w:br/>
      </w:r>
      <w:r w:rsidRPr="006B59D6">
        <w:rPr>
          <w:rFonts w:ascii="Times New Roman" w:hAnsi="Times New Roman" w:cs="Times New Roman"/>
        </w:rPr>
        <w:t>č.</w:t>
      </w:r>
      <w:r w:rsidR="003951D8">
        <w:rPr>
          <w:rFonts w:ascii="Times New Roman" w:hAnsi="Times New Roman" w:cs="Times New Roman"/>
        </w:rPr>
        <w:t xml:space="preserve"> </w:t>
      </w:r>
      <w:r w:rsidRPr="006B59D6">
        <w:rPr>
          <w:rFonts w:ascii="Times New Roman" w:hAnsi="Times New Roman" w:cs="Times New Roman"/>
        </w:rPr>
        <w:t>129/2000 Sb., o</w:t>
      </w:r>
      <w:r w:rsidR="003951D8">
        <w:rPr>
          <w:rFonts w:ascii="Times New Roman" w:hAnsi="Times New Roman" w:cs="Times New Roman"/>
        </w:rPr>
        <w:t xml:space="preserve"> </w:t>
      </w:r>
      <w:r w:rsidRPr="006B59D6">
        <w:rPr>
          <w:rFonts w:ascii="Times New Roman" w:hAnsi="Times New Roman" w:cs="Times New Roman"/>
        </w:rPr>
        <w:t>krajích (krajské zřízení), ve znění pozdějších předpisů,</w:t>
      </w:r>
    </w:p>
    <w:p w:rsidR="00DC5024" w:rsidRPr="006B59D6" w:rsidRDefault="00DC5024" w:rsidP="000D6D97">
      <w:pPr>
        <w:pStyle w:val="Default"/>
        <w:jc w:val="both"/>
        <w:rPr>
          <w:rFonts w:ascii="Times New Roman" w:hAnsi="Times New Roman" w:cs="Times New Roman"/>
        </w:rPr>
      </w:pPr>
    </w:p>
    <w:p w:rsidR="000D6D97" w:rsidRPr="00820A86" w:rsidRDefault="003951D8" w:rsidP="008D23B4">
      <w:pPr>
        <w:pStyle w:val="Defaul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3951D8">
        <w:rPr>
          <w:rFonts w:ascii="Times New Roman" w:hAnsi="Times New Roman" w:cs="Times New Roman"/>
          <w:b/>
          <w:spacing w:val="40"/>
        </w:rPr>
        <w:t>bere na vědomí</w:t>
      </w:r>
      <w:r w:rsidR="002442C6">
        <w:rPr>
          <w:rFonts w:ascii="Times New Roman" w:hAnsi="Times New Roman" w:cs="Times New Roman"/>
          <w:b/>
          <w:spacing w:val="40"/>
        </w:rPr>
        <w:t xml:space="preserve"> </w:t>
      </w:r>
      <w:r w:rsidR="000D6D97" w:rsidRPr="00820A86">
        <w:rPr>
          <w:rFonts w:ascii="Times New Roman" w:eastAsia="Times New Roman" w:hAnsi="Times New Roman" w:cs="Times New Roman"/>
          <w:bCs/>
          <w:spacing w:val="-9"/>
          <w:lang w:eastAsia="cs-CZ"/>
        </w:rPr>
        <w:t>„</w:t>
      </w:r>
      <w:r w:rsidR="000D6D97" w:rsidRPr="00820A86">
        <w:rPr>
          <w:rFonts w:ascii="Times New Roman" w:hAnsi="Times New Roman" w:cs="Times New Roman"/>
        </w:rPr>
        <w:t xml:space="preserve">Nezávislou právní </w:t>
      </w:r>
      <w:r w:rsidR="00E5183A" w:rsidRPr="00820A86">
        <w:rPr>
          <w:rFonts w:ascii="Times New Roman" w:hAnsi="Times New Roman" w:cs="Times New Roman"/>
        </w:rPr>
        <w:t xml:space="preserve">a ekonomickou </w:t>
      </w:r>
      <w:r w:rsidR="008D23B4">
        <w:rPr>
          <w:rFonts w:ascii="Times New Roman" w:hAnsi="Times New Roman" w:cs="Times New Roman"/>
        </w:rPr>
        <w:t xml:space="preserve">analýzu smluv </w:t>
      </w:r>
      <w:r>
        <w:rPr>
          <w:rFonts w:ascii="Times New Roman" w:hAnsi="Times New Roman" w:cs="Times New Roman"/>
        </w:rPr>
        <w:br/>
      </w:r>
      <w:r w:rsidR="000D6D97" w:rsidRPr="00820A8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D6D97" w:rsidRPr="00820A86">
        <w:rPr>
          <w:rFonts w:ascii="Times New Roman" w:hAnsi="Times New Roman" w:cs="Times New Roman"/>
        </w:rPr>
        <w:t>provozovatelem</w:t>
      </w:r>
      <w:r w:rsidR="008D23B4">
        <w:rPr>
          <w:rFonts w:ascii="Times New Roman" w:hAnsi="Times New Roman" w:cs="Times New Roman"/>
        </w:rPr>
        <w:t xml:space="preserve"> </w:t>
      </w:r>
      <w:r w:rsidR="000D6D97" w:rsidRPr="00820A86">
        <w:rPr>
          <w:rFonts w:ascii="Times New Roman" w:hAnsi="Times New Roman" w:cs="Times New Roman"/>
        </w:rPr>
        <w:t>letiště</w:t>
      </w:r>
      <w:r w:rsidR="000D6D97" w:rsidRPr="00820A86">
        <w:rPr>
          <w:rFonts w:ascii="Times New Roman" w:eastAsia="Times New Roman" w:hAnsi="Times New Roman" w:cs="Times New Roman"/>
          <w:bCs/>
          <w:spacing w:val="-9"/>
          <w:lang w:eastAsia="cs-CZ"/>
        </w:rPr>
        <w:t>“</w:t>
      </w:r>
      <w:r w:rsidR="000D6D97" w:rsidRPr="00820A86">
        <w:rPr>
          <w:rFonts w:ascii="Times New Roman" w:hAnsi="Times New Roman" w:cs="Times New Roman"/>
        </w:rPr>
        <w:t>, zpracovanou společnos</w:t>
      </w:r>
      <w:r>
        <w:rPr>
          <w:rFonts w:ascii="Times New Roman" w:hAnsi="Times New Roman" w:cs="Times New Roman"/>
        </w:rPr>
        <w:t xml:space="preserve">tí KŠD LEGAL advokátní kancelář </w:t>
      </w:r>
      <w:r w:rsidR="000D6D97" w:rsidRPr="00820A86">
        <w:rPr>
          <w:rFonts w:ascii="Times New Roman" w:hAnsi="Times New Roman" w:cs="Times New Roman"/>
        </w:rPr>
        <w:t xml:space="preserve">s.r.o, IČO: 25 71 12 29, se sídlem </w:t>
      </w:r>
      <w:r w:rsidR="00DC5024" w:rsidRPr="00820A86">
        <w:rPr>
          <w:rFonts w:ascii="Times New Roman" w:hAnsi="Times New Roman" w:cs="Times New Roman"/>
        </w:rPr>
        <w:t>Hvězdova 1716/2b, 140 00 Praha,</w:t>
      </w:r>
    </w:p>
    <w:p w:rsidR="000D6D97" w:rsidRPr="006B59D6" w:rsidRDefault="000D6D97" w:rsidP="008D23B4">
      <w:pPr>
        <w:pStyle w:val="Default"/>
        <w:jc w:val="both"/>
        <w:rPr>
          <w:rFonts w:ascii="Times New Roman" w:hAnsi="Times New Roman" w:cs="Times New Roman"/>
        </w:rPr>
      </w:pPr>
    </w:p>
    <w:p w:rsidR="003219C6" w:rsidRDefault="000D6D97" w:rsidP="008D23B4">
      <w:pPr>
        <w:pStyle w:val="Defaul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3951D8">
        <w:rPr>
          <w:rFonts w:ascii="Times New Roman" w:hAnsi="Times New Roman" w:cs="Times New Roman"/>
          <w:b/>
          <w:spacing w:val="40"/>
        </w:rPr>
        <w:t>u</w:t>
      </w:r>
      <w:r w:rsidR="003951D8" w:rsidRPr="003951D8">
        <w:rPr>
          <w:rFonts w:ascii="Times New Roman" w:hAnsi="Times New Roman" w:cs="Times New Roman"/>
          <w:b/>
          <w:spacing w:val="40"/>
        </w:rPr>
        <w:t>kládá</w:t>
      </w:r>
      <w:r w:rsidR="002442C6">
        <w:rPr>
          <w:rFonts w:ascii="Times New Roman" w:hAnsi="Times New Roman" w:cs="Times New Roman"/>
          <w:b/>
          <w:spacing w:val="40"/>
        </w:rPr>
        <w:t xml:space="preserve"> </w:t>
      </w:r>
      <w:r w:rsidRPr="006B59D6">
        <w:rPr>
          <w:rFonts w:ascii="Times New Roman" w:hAnsi="Times New Roman" w:cs="Times New Roman"/>
        </w:rPr>
        <w:t xml:space="preserve">ředitelce </w:t>
      </w:r>
      <w:r w:rsidR="00174AFD">
        <w:rPr>
          <w:rFonts w:ascii="Times New Roman" w:hAnsi="Times New Roman" w:cs="Times New Roman"/>
        </w:rPr>
        <w:t>Krajského úřadu Jihomoravského kraje</w:t>
      </w:r>
      <w:r w:rsidR="00DC5024" w:rsidRPr="006B59D6">
        <w:rPr>
          <w:rFonts w:ascii="Times New Roman" w:hAnsi="Times New Roman" w:cs="Times New Roman"/>
        </w:rPr>
        <w:t xml:space="preserve"> </w:t>
      </w:r>
      <w:r w:rsidR="00FC4A33" w:rsidRPr="006B59D6">
        <w:rPr>
          <w:rFonts w:ascii="Times New Roman" w:hAnsi="Times New Roman" w:cs="Times New Roman"/>
        </w:rPr>
        <w:t>zabezpečit vyhodnocení doporučení uvedených v</w:t>
      </w:r>
      <w:r w:rsidR="003951D8">
        <w:rPr>
          <w:rFonts w:ascii="Times New Roman" w:hAnsi="Times New Roman" w:cs="Times New Roman"/>
        </w:rPr>
        <w:t xml:space="preserve"> </w:t>
      </w:r>
      <w:r w:rsidR="001350AD" w:rsidRPr="006B59D6">
        <w:rPr>
          <w:rFonts w:ascii="Times New Roman" w:eastAsia="Times New Roman" w:hAnsi="Times New Roman" w:cs="Times New Roman"/>
          <w:bCs/>
          <w:spacing w:val="-9"/>
          <w:lang w:eastAsia="cs-CZ"/>
        </w:rPr>
        <w:t>„</w:t>
      </w:r>
      <w:r w:rsidR="001350AD" w:rsidRPr="006B59D6">
        <w:rPr>
          <w:rFonts w:ascii="Times New Roman" w:hAnsi="Times New Roman" w:cs="Times New Roman"/>
        </w:rPr>
        <w:t>Nezávisl</w:t>
      </w:r>
      <w:r w:rsidR="00BF6740">
        <w:rPr>
          <w:rFonts w:ascii="Times New Roman" w:hAnsi="Times New Roman" w:cs="Times New Roman"/>
        </w:rPr>
        <w:t>é</w:t>
      </w:r>
      <w:r w:rsidR="001350AD" w:rsidRPr="006B59D6">
        <w:rPr>
          <w:rFonts w:ascii="Times New Roman" w:hAnsi="Times New Roman" w:cs="Times New Roman"/>
        </w:rPr>
        <w:t xml:space="preserve"> právní a ekonomick</w:t>
      </w:r>
      <w:r w:rsidR="00BF6740">
        <w:rPr>
          <w:rFonts w:ascii="Times New Roman" w:hAnsi="Times New Roman" w:cs="Times New Roman"/>
        </w:rPr>
        <w:t>é</w:t>
      </w:r>
      <w:r w:rsidR="001350AD" w:rsidRPr="006B59D6">
        <w:rPr>
          <w:rFonts w:ascii="Times New Roman" w:hAnsi="Times New Roman" w:cs="Times New Roman"/>
        </w:rPr>
        <w:t xml:space="preserve"> analýz</w:t>
      </w:r>
      <w:r w:rsidR="00BF6740">
        <w:rPr>
          <w:rFonts w:ascii="Times New Roman" w:hAnsi="Times New Roman" w:cs="Times New Roman"/>
        </w:rPr>
        <w:t>e</w:t>
      </w:r>
      <w:r w:rsidR="003951D8">
        <w:rPr>
          <w:rFonts w:ascii="Times New Roman" w:hAnsi="Times New Roman" w:cs="Times New Roman"/>
        </w:rPr>
        <w:t xml:space="preserve"> smluv </w:t>
      </w:r>
      <w:r w:rsidR="003951D8">
        <w:rPr>
          <w:rFonts w:ascii="Times New Roman" w:hAnsi="Times New Roman" w:cs="Times New Roman"/>
        </w:rPr>
        <w:br/>
      </w:r>
      <w:r w:rsidR="001350AD" w:rsidRPr="006B59D6">
        <w:rPr>
          <w:rFonts w:ascii="Times New Roman" w:hAnsi="Times New Roman" w:cs="Times New Roman"/>
        </w:rPr>
        <w:t>s</w:t>
      </w:r>
      <w:r w:rsidR="003951D8">
        <w:rPr>
          <w:rFonts w:ascii="Times New Roman" w:hAnsi="Times New Roman" w:cs="Times New Roman"/>
        </w:rPr>
        <w:t xml:space="preserve"> </w:t>
      </w:r>
      <w:r w:rsidR="001350AD" w:rsidRPr="006B59D6">
        <w:rPr>
          <w:rFonts w:ascii="Times New Roman" w:hAnsi="Times New Roman" w:cs="Times New Roman"/>
        </w:rPr>
        <w:t>provozovatelem</w:t>
      </w:r>
      <w:r w:rsidR="003951D8">
        <w:rPr>
          <w:rFonts w:ascii="Times New Roman" w:hAnsi="Times New Roman" w:cs="Times New Roman"/>
        </w:rPr>
        <w:t xml:space="preserve"> </w:t>
      </w:r>
      <w:r w:rsidR="001350AD" w:rsidRPr="006B59D6">
        <w:rPr>
          <w:rFonts w:ascii="Times New Roman" w:hAnsi="Times New Roman" w:cs="Times New Roman"/>
        </w:rPr>
        <w:t>letiště</w:t>
      </w:r>
      <w:r w:rsidR="001350AD" w:rsidRPr="006B59D6">
        <w:rPr>
          <w:rFonts w:ascii="Times New Roman" w:eastAsia="Times New Roman" w:hAnsi="Times New Roman" w:cs="Times New Roman"/>
          <w:bCs/>
          <w:spacing w:val="-9"/>
          <w:lang w:eastAsia="cs-CZ"/>
        </w:rPr>
        <w:t>“</w:t>
      </w:r>
      <w:r w:rsidR="00FC4A33" w:rsidRPr="006B59D6">
        <w:rPr>
          <w:rFonts w:ascii="Times New Roman" w:hAnsi="Times New Roman" w:cs="Times New Roman"/>
        </w:rPr>
        <w:t xml:space="preserve"> a nastavení příslušných procesních postupů v</w:t>
      </w:r>
      <w:r w:rsidR="003951D8">
        <w:rPr>
          <w:rFonts w:ascii="Times New Roman" w:hAnsi="Times New Roman" w:cs="Times New Roman"/>
        </w:rPr>
        <w:t xml:space="preserve"> </w:t>
      </w:r>
      <w:r w:rsidR="00FC4A33" w:rsidRPr="006B59D6">
        <w:rPr>
          <w:rFonts w:ascii="Times New Roman" w:hAnsi="Times New Roman" w:cs="Times New Roman"/>
        </w:rPr>
        <w:t xml:space="preserve">rámci </w:t>
      </w:r>
      <w:r w:rsidR="00174AFD">
        <w:rPr>
          <w:rFonts w:ascii="Times New Roman" w:hAnsi="Times New Roman" w:cs="Times New Roman"/>
        </w:rPr>
        <w:t>Krajského úřadu Jihomoravského kraje</w:t>
      </w:r>
      <w:r w:rsidR="00FC4A33" w:rsidRPr="006B59D6">
        <w:rPr>
          <w:rFonts w:ascii="Times New Roman" w:hAnsi="Times New Roman" w:cs="Times New Roman"/>
        </w:rPr>
        <w:t xml:space="preserve"> ve</w:t>
      </w:r>
      <w:r w:rsidR="003951D8">
        <w:rPr>
          <w:rFonts w:ascii="Times New Roman" w:hAnsi="Times New Roman" w:cs="Times New Roman"/>
        </w:rPr>
        <w:t xml:space="preserve"> </w:t>
      </w:r>
      <w:r w:rsidR="00FC4A33" w:rsidRPr="006B59D6">
        <w:rPr>
          <w:rFonts w:ascii="Times New Roman" w:hAnsi="Times New Roman" w:cs="Times New Roman"/>
        </w:rPr>
        <w:t xml:space="preserve">vazbě na </w:t>
      </w:r>
      <w:r w:rsidR="003219C6" w:rsidRPr="006B59D6">
        <w:rPr>
          <w:rFonts w:ascii="Times New Roman" w:hAnsi="Times New Roman" w:cs="Times New Roman"/>
        </w:rPr>
        <w:t>Smlouvu o nájmu a provozování mezinárodního veřejného letiště Brno</w:t>
      </w:r>
      <w:r w:rsidR="003951D8">
        <w:rPr>
          <w:rFonts w:ascii="Times New Roman" w:hAnsi="Times New Roman" w:cs="Times New Roman"/>
        </w:rPr>
        <w:t>-</w:t>
      </w:r>
      <w:r w:rsidR="003219C6" w:rsidRPr="006B59D6">
        <w:rPr>
          <w:rFonts w:ascii="Times New Roman" w:hAnsi="Times New Roman" w:cs="Times New Roman"/>
        </w:rPr>
        <w:t>Tuřany</w:t>
      </w:r>
      <w:r w:rsidR="00B50791">
        <w:rPr>
          <w:rFonts w:ascii="Times New Roman" w:hAnsi="Times New Roman" w:cs="Times New Roman"/>
        </w:rPr>
        <w:t>,</w:t>
      </w:r>
    </w:p>
    <w:p w:rsidR="007E3983" w:rsidRDefault="007E3983" w:rsidP="003951D8"/>
    <w:p w:rsidR="003219C6" w:rsidRPr="007E3983" w:rsidRDefault="003951D8" w:rsidP="008D23B4">
      <w:pPr>
        <w:pStyle w:val="Defaul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</w:rPr>
      </w:pPr>
      <w:r w:rsidRPr="003951D8">
        <w:rPr>
          <w:rFonts w:ascii="Times New Roman" w:hAnsi="Times New Roman" w:cs="Times New Roman"/>
          <w:b/>
          <w:spacing w:val="40"/>
        </w:rPr>
        <w:t>ukládá</w:t>
      </w:r>
      <w:r w:rsidR="002442C6">
        <w:rPr>
          <w:rFonts w:ascii="Times New Roman" w:hAnsi="Times New Roman" w:cs="Times New Roman"/>
          <w:b/>
          <w:spacing w:val="40"/>
        </w:rPr>
        <w:t xml:space="preserve"> </w:t>
      </w:r>
      <w:r w:rsidR="007E3983" w:rsidRPr="007E3983">
        <w:rPr>
          <w:rFonts w:ascii="Times New Roman" w:hAnsi="Times New Roman" w:cs="Times New Roman"/>
        </w:rPr>
        <w:t xml:space="preserve">ředitelce </w:t>
      </w:r>
      <w:r w:rsidR="00174AFD">
        <w:rPr>
          <w:rFonts w:ascii="Times New Roman" w:hAnsi="Times New Roman" w:cs="Times New Roman"/>
        </w:rPr>
        <w:t>Krajského úřadu Jihomoravského kraje</w:t>
      </w:r>
      <w:r w:rsidR="007E3983" w:rsidRPr="007E3983">
        <w:rPr>
          <w:rFonts w:ascii="Times New Roman" w:hAnsi="Times New Roman" w:cs="Times New Roman"/>
        </w:rPr>
        <w:t xml:space="preserve"> zřídit pracovní skupinu </w:t>
      </w:r>
      <w:r>
        <w:rPr>
          <w:rFonts w:ascii="Times New Roman" w:hAnsi="Times New Roman" w:cs="Times New Roman"/>
        </w:rPr>
        <w:br/>
      </w:r>
      <w:r w:rsidR="007E3983" w:rsidRPr="007E3983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</w:t>
      </w:r>
      <w:r w:rsidR="007E3983" w:rsidRPr="007E3983">
        <w:rPr>
          <w:rFonts w:ascii="Times New Roman" w:hAnsi="Times New Roman" w:cs="Times New Roman"/>
        </w:rPr>
        <w:t>zabezpečení úkolu dle bodu b) a k</w:t>
      </w:r>
      <w:r>
        <w:rPr>
          <w:rFonts w:ascii="Times New Roman" w:hAnsi="Times New Roman" w:cs="Times New Roman"/>
        </w:rPr>
        <w:t xml:space="preserve"> </w:t>
      </w:r>
      <w:r w:rsidR="007E3983" w:rsidRPr="007E3983">
        <w:rPr>
          <w:rFonts w:ascii="Times New Roman" w:hAnsi="Times New Roman" w:cs="Times New Roman"/>
        </w:rPr>
        <w:t>provedení</w:t>
      </w:r>
      <w:r w:rsidR="00B50791">
        <w:rPr>
          <w:rFonts w:ascii="Times New Roman" w:hAnsi="Times New Roman" w:cs="Times New Roman"/>
        </w:rPr>
        <w:t xml:space="preserve"> </w:t>
      </w:r>
      <w:r w:rsidR="007E3983" w:rsidRPr="007E3983">
        <w:rPr>
          <w:rFonts w:ascii="Times New Roman" w:hAnsi="Times New Roman" w:cs="Times New Roman"/>
        </w:rPr>
        <w:t xml:space="preserve">detailní analýzy Smlouvy o nájmu </w:t>
      </w:r>
      <w:r>
        <w:rPr>
          <w:rFonts w:ascii="Times New Roman" w:hAnsi="Times New Roman" w:cs="Times New Roman"/>
        </w:rPr>
        <w:br/>
      </w:r>
      <w:r w:rsidR="007E3983" w:rsidRPr="007E3983">
        <w:rPr>
          <w:rFonts w:ascii="Times New Roman" w:hAnsi="Times New Roman" w:cs="Times New Roman"/>
        </w:rPr>
        <w:t>a provozování mezinárodního veřejného letiště Brno</w:t>
      </w:r>
      <w:r>
        <w:rPr>
          <w:rFonts w:ascii="Times New Roman" w:hAnsi="Times New Roman" w:cs="Times New Roman"/>
        </w:rPr>
        <w:t>-</w:t>
      </w:r>
      <w:r w:rsidR="007E3983" w:rsidRPr="007E3983">
        <w:rPr>
          <w:rFonts w:ascii="Times New Roman" w:hAnsi="Times New Roman" w:cs="Times New Roman"/>
        </w:rPr>
        <w:t>Tuřany, včetně dodatků</w:t>
      </w:r>
      <w:r>
        <w:rPr>
          <w:rFonts w:ascii="Times New Roman" w:hAnsi="Times New Roman" w:cs="Times New Roman"/>
        </w:rPr>
        <w:t>,</w:t>
      </w:r>
      <w:r w:rsidR="007E3983" w:rsidRPr="007E3983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r w:rsidR="007E3983" w:rsidRPr="007E3983">
        <w:rPr>
          <w:rFonts w:ascii="Times New Roman" w:hAnsi="Times New Roman" w:cs="Times New Roman"/>
        </w:rPr>
        <w:t>hlediska nastavených kompetencí v</w:t>
      </w:r>
      <w:r>
        <w:rPr>
          <w:rFonts w:ascii="Times New Roman" w:hAnsi="Times New Roman" w:cs="Times New Roman"/>
        </w:rPr>
        <w:t xml:space="preserve"> </w:t>
      </w:r>
      <w:r w:rsidR="007E3983" w:rsidRPr="007E3983">
        <w:rPr>
          <w:rFonts w:ascii="Times New Roman" w:hAnsi="Times New Roman" w:cs="Times New Roman"/>
        </w:rPr>
        <w:t xml:space="preserve">rámci </w:t>
      </w:r>
      <w:r w:rsidR="00174AFD">
        <w:rPr>
          <w:rFonts w:ascii="Times New Roman" w:hAnsi="Times New Roman" w:cs="Times New Roman"/>
        </w:rPr>
        <w:t>Krajského úřadu Jihomoravského kraje</w:t>
      </w:r>
      <w:r w:rsidR="007E3983" w:rsidRPr="007E3983">
        <w:rPr>
          <w:rFonts w:ascii="Times New Roman" w:hAnsi="Times New Roman" w:cs="Times New Roman"/>
        </w:rPr>
        <w:t xml:space="preserve"> a stanovení odpovědnosti odvětvových odborů za aplikaci v</w:t>
      </w:r>
      <w:r>
        <w:rPr>
          <w:rFonts w:ascii="Times New Roman" w:hAnsi="Times New Roman" w:cs="Times New Roman"/>
        </w:rPr>
        <w:t xml:space="preserve"> </w:t>
      </w:r>
      <w:r w:rsidR="007E3983" w:rsidRPr="007E3983">
        <w:rPr>
          <w:rFonts w:ascii="Times New Roman" w:hAnsi="Times New Roman" w:cs="Times New Roman"/>
        </w:rPr>
        <w:t xml:space="preserve">rámci </w:t>
      </w:r>
      <w:r w:rsidR="00174AFD">
        <w:rPr>
          <w:rFonts w:ascii="Times New Roman" w:hAnsi="Times New Roman" w:cs="Times New Roman"/>
        </w:rPr>
        <w:t>Krajského úřadu Jihomoravského kraje</w:t>
      </w:r>
      <w:r w:rsidR="00B50791">
        <w:rPr>
          <w:rFonts w:ascii="Times New Roman" w:hAnsi="Times New Roman" w:cs="Times New Roman"/>
        </w:rPr>
        <w:t>,</w:t>
      </w:r>
    </w:p>
    <w:p w:rsidR="007E3983" w:rsidRPr="003951D8" w:rsidRDefault="007E3983" w:rsidP="003951D8">
      <w:pPr>
        <w:rPr>
          <w:b/>
        </w:rPr>
      </w:pPr>
    </w:p>
    <w:p w:rsidR="007E3983" w:rsidRDefault="003951D8" w:rsidP="008D23B4">
      <w:pPr>
        <w:pStyle w:val="Defaul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3951D8">
        <w:rPr>
          <w:rFonts w:ascii="Times New Roman" w:hAnsi="Times New Roman" w:cs="Times New Roman"/>
          <w:b/>
          <w:spacing w:val="40"/>
        </w:rPr>
        <w:t>ukládá</w:t>
      </w:r>
      <w:r w:rsidR="002442C6">
        <w:rPr>
          <w:rFonts w:ascii="Times New Roman" w:hAnsi="Times New Roman" w:cs="Times New Roman"/>
          <w:b/>
          <w:spacing w:val="40"/>
        </w:rPr>
        <w:t xml:space="preserve"> </w:t>
      </w:r>
      <w:r w:rsidR="007E3983" w:rsidRPr="007E3983">
        <w:rPr>
          <w:rFonts w:ascii="Times New Roman" w:hAnsi="Times New Roman" w:cs="Times New Roman"/>
        </w:rPr>
        <w:t xml:space="preserve">ředitelce </w:t>
      </w:r>
      <w:r w:rsidR="00174AFD">
        <w:rPr>
          <w:rFonts w:ascii="Times New Roman" w:hAnsi="Times New Roman" w:cs="Times New Roman"/>
        </w:rPr>
        <w:t>Krajského úřadu Jihomoravského kraje</w:t>
      </w:r>
      <w:r w:rsidR="007E3983" w:rsidRPr="007E3983">
        <w:rPr>
          <w:rFonts w:ascii="Times New Roman" w:hAnsi="Times New Roman" w:cs="Times New Roman"/>
        </w:rPr>
        <w:t xml:space="preserve"> </w:t>
      </w:r>
      <w:r w:rsidR="007E3983">
        <w:rPr>
          <w:rFonts w:ascii="Times New Roman" w:hAnsi="Times New Roman" w:cs="Times New Roman"/>
        </w:rPr>
        <w:t>předložit R</w:t>
      </w:r>
      <w:r>
        <w:rPr>
          <w:rFonts w:ascii="Times New Roman" w:hAnsi="Times New Roman" w:cs="Times New Roman"/>
        </w:rPr>
        <w:t>adě Jihomoravského kraje</w:t>
      </w:r>
      <w:r w:rsidR="007E3983">
        <w:rPr>
          <w:rFonts w:ascii="Times New Roman" w:hAnsi="Times New Roman" w:cs="Times New Roman"/>
        </w:rPr>
        <w:t xml:space="preserve"> výsledky činnosti pracovní skupiny s</w:t>
      </w:r>
      <w:r>
        <w:rPr>
          <w:rFonts w:ascii="Times New Roman" w:hAnsi="Times New Roman" w:cs="Times New Roman"/>
        </w:rPr>
        <w:t xml:space="preserve"> </w:t>
      </w:r>
      <w:r w:rsidR="007E3983">
        <w:rPr>
          <w:rFonts w:ascii="Times New Roman" w:hAnsi="Times New Roman" w:cs="Times New Roman"/>
        </w:rPr>
        <w:t>návrhem dalšího postupu</w:t>
      </w:r>
      <w:r w:rsidR="00B50791">
        <w:rPr>
          <w:rFonts w:ascii="Times New Roman" w:hAnsi="Times New Roman" w:cs="Times New Roman"/>
        </w:rPr>
        <w:t>,</w:t>
      </w:r>
    </w:p>
    <w:p w:rsidR="007E3983" w:rsidRDefault="007E3983" w:rsidP="003951D8"/>
    <w:p w:rsidR="001350AD" w:rsidRDefault="003951D8" w:rsidP="008D23B4">
      <w:pPr>
        <w:pStyle w:val="Default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 w:rsidRPr="003951D8">
        <w:rPr>
          <w:rFonts w:ascii="Times New Roman" w:hAnsi="Times New Roman" w:cs="Times New Roman"/>
          <w:b/>
          <w:spacing w:val="40"/>
        </w:rPr>
        <w:t>ukládá</w:t>
      </w:r>
      <w:r w:rsidR="002442C6">
        <w:rPr>
          <w:rFonts w:ascii="Times New Roman" w:hAnsi="Times New Roman" w:cs="Times New Roman"/>
          <w:b/>
          <w:spacing w:val="40"/>
        </w:rPr>
        <w:t xml:space="preserve"> </w:t>
      </w:r>
      <w:r w:rsidR="001350AD">
        <w:rPr>
          <w:rFonts w:ascii="Times New Roman" w:hAnsi="Times New Roman" w:cs="Times New Roman"/>
        </w:rPr>
        <w:t xml:space="preserve">ředitelce </w:t>
      </w:r>
      <w:r w:rsidR="00174AFD">
        <w:rPr>
          <w:rFonts w:ascii="Times New Roman" w:hAnsi="Times New Roman" w:cs="Times New Roman"/>
        </w:rPr>
        <w:t>Krajského úřadu Jihomoravského kraje</w:t>
      </w:r>
      <w:r w:rsidR="001350AD">
        <w:rPr>
          <w:rFonts w:ascii="Times New Roman" w:hAnsi="Times New Roman" w:cs="Times New Roman"/>
        </w:rPr>
        <w:t xml:space="preserve"> zpracovat návrh k</w:t>
      </w:r>
      <w:r>
        <w:rPr>
          <w:rFonts w:ascii="Times New Roman" w:hAnsi="Times New Roman" w:cs="Times New Roman"/>
        </w:rPr>
        <w:t xml:space="preserve"> </w:t>
      </w:r>
      <w:r w:rsidR="001350AD">
        <w:rPr>
          <w:rFonts w:ascii="Times New Roman" w:hAnsi="Times New Roman" w:cs="Times New Roman"/>
        </w:rPr>
        <w:t>zajištění zvýšení reálného vlivu J</w:t>
      </w:r>
      <w:r>
        <w:rPr>
          <w:rFonts w:ascii="Times New Roman" w:hAnsi="Times New Roman" w:cs="Times New Roman"/>
        </w:rPr>
        <w:t>ihomoravského kraje</w:t>
      </w:r>
      <w:r w:rsidR="001350AD">
        <w:rPr>
          <w:rFonts w:ascii="Times New Roman" w:hAnsi="Times New Roman" w:cs="Times New Roman"/>
        </w:rPr>
        <w:t xml:space="preserve"> při nakládání s</w:t>
      </w:r>
      <w:r>
        <w:rPr>
          <w:rFonts w:ascii="Times New Roman" w:hAnsi="Times New Roman" w:cs="Times New Roman"/>
        </w:rPr>
        <w:t xml:space="preserve"> </w:t>
      </w:r>
      <w:r w:rsidR="001350AD">
        <w:rPr>
          <w:rFonts w:ascii="Times New Roman" w:hAnsi="Times New Roman" w:cs="Times New Roman"/>
        </w:rPr>
        <w:t xml:space="preserve">jeho majetkem tvořícím předmět nájmu dle </w:t>
      </w:r>
      <w:r w:rsidR="001350AD" w:rsidRPr="006B59D6">
        <w:rPr>
          <w:rFonts w:ascii="Times New Roman" w:hAnsi="Times New Roman" w:cs="Times New Roman"/>
        </w:rPr>
        <w:t>Smlouv</w:t>
      </w:r>
      <w:r w:rsidR="00B50791">
        <w:rPr>
          <w:rFonts w:ascii="Times New Roman" w:hAnsi="Times New Roman" w:cs="Times New Roman"/>
        </w:rPr>
        <w:t>y</w:t>
      </w:r>
      <w:r w:rsidR="001350AD" w:rsidRPr="006B59D6">
        <w:rPr>
          <w:rFonts w:ascii="Times New Roman" w:hAnsi="Times New Roman" w:cs="Times New Roman"/>
        </w:rPr>
        <w:t xml:space="preserve"> o nájmu a provozování mezinárodního veřejného letiště Brno-Tuřany.</w:t>
      </w:r>
    </w:p>
    <w:p w:rsidR="003219C6" w:rsidRPr="007E3983" w:rsidRDefault="003219C6" w:rsidP="003951D8">
      <w:pPr>
        <w:pStyle w:val="Default"/>
        <w:jc w:val="both"/>
        <w:rPr>
          <w:rFonts w:ascii="Times New Roman" w:hAnsi="Times New Roman" w:cs="Times New Roman"/>
        </w:rPr>
      </w:pPr>
    </w:p>
    <w:p w:rsidR="00534A14" w:rsidRDefault="00534A14">
      <w:pPr>
        <w:spacing w:after="200" w:line="276" w:lineRule="auto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br w:type="page"/>
      </w:r>
    </w:p>
    <w:p w:rsidR="0070739B" w:rsidRPr="006B59D6" w:rsidRDefault="0070739B" w:rsidP="0070739B">
      <w:pPr>
        <w:rPr>
          <w:bCs/>
          <w:spacing w:val="-9"/>
        </w:rPr>
      </w:pPr>
      <w:r w:rsidRPr="006B59D6">
        <w:lastRenderedPageBreak/>
        <w:t xml:space="preserve">K materiálu: </w:t>
      </w:r>
      <w:r w:rsidRPr="006B59D6">
        <w:rPr>
          <w:bCs/>
          <w:spacing w:val="-9"/>
        </w:rPr>
        <w:t>„</w:t>
      </w:r>
      <w:r w:rsidRPr="006B59D6">
        <w:t xml:space="preserve">Nezávislá právní </w:t>
      </w:r>
      <w:r w:rsidR="00A1075D">
        <w:t xml:space="preserve">a ekonomická </w:t>
      </w:r>
      <w:r w:rsidRPr="006B59D6">
        <w:t>analýza smluv s provozovatelem letiště</w:t>
      </w:r>
      <w:r w:rsidRPr="006B59D6">
        <w:rPr>
          <w:bCs/>
          <w:spacing w:val="-9"/>
        </w:rPr>
        <w:t>“</w:t>
      </w:r>
    </w:p>
    <w:p w:rsidR="0070739B" w:rsidRPr="006B59D6" w:rsidRDefault="0070739B" w:rsidP="0070739B">
      <w:pPr>
        <w:jc w:val="both"/>
        <w:rPr>
          <w:bCs/>
          <w:u w:val="single"/>
        </w:rPr>
      </w:pPr>
    </w:p>
    <w:tbl>
      <w:tblPr>
        <w:tblpPr w:leftFromText="141" w:rightFromText="141" w:vertAnchor="text" w:horzAnchor="margin" w:tblpY="1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183"/>
        <w:gridCol w:w="2223"/>
        <w:gridCol w:w="2467"/>
      </w:tblGrid>
      <w:tr w:rsidR="0070739B" w:rsidRPr="006B59D6" w:rsidTr="008B6EB0">
        <w:trPr>
          <w:trHeight w:val="7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Zpracoval: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Vedoucí odboru: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Předkládá (za příslušný úsek):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Předkládá:</w:t>
            </w:r>
          </w:p>
        </w:tc>
      </w:tr>
      <w:tr w:rsidR="0070739B" w:rsidRPr="006B59D6" w:rsidTr="008B6EB0">
        <w:trPr>
          <w:cantSplit/>
          <w:trHeight w:val="188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B59D6">
              <w:rPr>
                <w:b/>
                <w:bCs/>
                <w:iCs/>
                <w:color w:val="000000"/>
                <w:sz w:val="22"/>
                <w:szCs w:val="22"/>
              </w:rPr>
              <w:t>Mgr. Liliane</w:t>
            </w:r>
            <w:r w:rsidR="003951D8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6B59D6">
              <w:rPr>
                <w:b/>
                <w:bCs/>
                <w:iCs/>
                <w:color w:val="000000"/>
                <w:sz w:val="22"/>
                <w:szCs w:val="22"/>
              </w:rPr>
              <w:t>Škarková</w:t>
            </w:r>
            <w:r w:rsidR="003951D8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951D8">
              <w:rPr>
                <w:b/>
                <w:bCs/>
                <w:iCs/>
                <w:color w:val="000000"/>
                <w:sz w:val="22"/>
                <w:szCs w:val="22"/>
              </w:rPr>
              <w:t>v.r.</w:t>
            </w:r>
            <w:proofErr w:type="gramEnd"/>
            <w:r w:rsidR="003951D8" w:rsidRPr="006B59D6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F1324" w:rsidRPr="006B59D6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:rsidR="0070739B" w:rsidRPr="006B59D6" w:rsidRDefault="0070739B" w:rsidP="008B6EB0">
            <w:pPr>
              <w:rPr>
                <w:iCs/>
                <w:color w:val="000000"/>
                <w:sz w:val="22"/>
                <w:szCs w:val="22"/>
              </w:rPr>
            </w:pPr>
            <w:r w:rsidRPr="006B59D6">
              <w:rPr>
                <w:iCs/>
                <w:color w:val="000000"/>
                <w:sz w:val="22"/>
                <w:szCs w:val="22"/>
              </w:rPr>
              <w:t>vedoucí oddělení majetkoprávního odboru majetkového</w:t>
            </w: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B59D6">
              <w:rPr>
                <w:b/>
                <w:bCs/>
                <w:iCs/>
                <w:color w:val="000000"/>
                <w:sz w:val="22"/>
                <w:szCs w:val="22"/>
              </w:rPr>
              <w:t xml:space="preserve">Ing. Petr Beneš </w:t>
            </w:r>
            <w:proofErr w:type="gramStart"/>
            <w:r w:rsidR="00D57244">
              <w:rPr>
                <w:b/>
                <w:bCs/>
                <w:iCs/>
                <w:color w:val="000000"/>
                <w:sz w:val="22"/>
                <w:szCs w:val="22"/>
              </w:rPr>
              <w:t>v.r.</w:t>
            </w:r>
            <w:proofErr w:type="gramEnd"/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6B59D6">
              <w:rPr>
                <w:iCs/>
                <w:color w:val="000000"/>
                <w:sz w:val="22"/>
                <w:szCs w:val="22"/>
              </w:rPr>
              <w:t>vedoucí odboru majetkového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B59D6">
              <w:rPr>
                <w:b/>
                <w:bCs/>
                <w:iCs/>
                <w:color w:val="000000"/>
                <w:sz w:val="22"/>
                <w:szCs w:val="22"/>
              </w:rPr>
              <w:t>Bc. Roman Hanák</w:t>
            </w:r>
            <w:r w:rsidR="0075074F" w:rsidRPr="006B59D6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D57244">
              <w:rPr>
                <w:b/>
                <w:bCs/>
                <w:iCs/>
                <w:color w:val="000000"/>
                <w:sz w:val="22"/>
                <w:szCs w:val="22"/>
              </w:rPr>
              <w:t>v.r.</w:t>
            </w:r>
            <w:proofErr w:type="gramEnd"/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6B59D6">
              <w:rPr>
                <w:bCs/>
                <w:iCs/>
                <w:color w:val="000000"/>
                <w:sz w:val="22"/>
                <w:szCs w:val="22"/>
              </w:rPr>
              <w:t>náměstek hejtmana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B59D6">
              <w:rPr>
                <w:b/>
                <w:sz w:val="22"/>
                <w:szCs w:val="22"/>
              </w:rPr>
              <w:t>Bc. Roman Hanák</w:t>
            </w:r>
            <w:r w:rsidR="0075074F" w:rsidRPr="006B59D6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D57244">
              <w:rPr>
                <w:b/>
                <w:sz w:val="22"/>
                <w:szCs w:val="22"/>
              </w:rPr>
              <w:t>v.r.</w:t>
            </w:r>
            <w:proofErr w:type="gramEnd"/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6B59D6">
              <w:rPr>
                <w:sz w:val="22"/>
                <w:szCs w:val="22"/>
              </w:rPr>
              <w:t>náměstek hejtmana</w:t>
            </w:r>
          </w:p>
        </w:tc>
      </w:tr>
      <w:tr w:rsidR="0070739B" w:rsidRPr="006B59D6" w:rsidTr="008B6EB0">
        <w:trPr>
          <w:cantSplit/>
          <w:trHeight w:val="1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bCs/>
                <w:i/>
                <w:iCs/>
                <w:color w:val="000000"/>
                <w:sz w:val="22"/>
                <w:szCs w:val="22"/>
              </w:rPr>
              <w:t>Právní garance: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bCs/>
                <w:i/>
                <w:iCs/>
                <w:color w:val="000000"/>
                <w:sz w:val="22"/>
                <w:szCs w:val="22"/>
              </w:rPr>
              <w:t>Vedoucí úseku: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6B59D6">
              <w:rPr>
                <w:bCs/>
                <w:i/>
                <w:iCs/>
                <w:color w:val="000000"/>
                <w:sz w:val="22"/>
                <w:szCs w:val="22"/>
              </w:rPr>
              <w:t>Spolupředkládá</w:t>
            </w:r>
            <w:proofErr w:type="spellEnd"/>
            <w:r w:rsidRPr="006B59D6">
              <w:rPr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70739B" w:rsidRPr="006B59D6" w:rsidTr="008B6EB0">
        <w:trPr>
          <w:cantSplit/>
          <w:trHeight w:val="1861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6B59D6">
              <w:rPr>
                <w:b/>
                <w:bCs/>
                <w:iCs/>
                <w:color w:val="000000"/>
                <w:sz w:val="22"/>
                <w:szCs w:val="22"/>
              </w:rPr>
              <w:t>Mgr. Liliane Škarková</w:t>
            </w:r>
            <w:r w:rsidR="0075074F" w:rsidRPr="006B59D6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D57244">
              <w:rPr>
                <w:b/>
                <w:bCs/>
                <w:iCs/>
                <w:color w:val="000000"/>
                <w:sz w:val="22"/>
                <w:szCs w:val="22"/>
              </w:rPr>
              <w:t>v.r.</w:t>
            </w:r>
            <w:proofErr w:type="gramEnd"/>
          </w:p>
          <w:p w:rsidR="0070739B" w:rsidRPr="006B59D6" w:rsidRDefault="0070739B" w:rsidP="008B6EB0">
            <w:pPr>
              <w:rPr>
                <w:iCs/>
                <w:color w:val="000000"/>
                <w:sz w:val="22"/>
                <w:szCs w:val="22"/>
              </w:rPr>
            </w:pPr>
            <w:r w:rsidRPr="006B59D6">
              <w:rPr>
                <w:iCs/>
                <w:color w:val="000000"/>
                <w:sz w:val="22"/>
                <w:szCs w:val="22"/>
              </w:rPr>
              <w:t>vedoucí oddělení majetkoprávního odboru majetkového</w:t>
            </w:r>
          </w:p>
          <w:p w:rsidR="0070739B" w:rsidRPr="006B59D6" w:rsidRDefault="0070739B" w:rsidP="008B6EB0">
            <w:pPr>
              <w:keepNext/>
              <w:outlineLvl w:val="1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6B59D6">
              <w:rPr>
                <w:b/>
                <w:sz w:val="22"/>
                <w:szCs w:val="22"/>
              </w:rPr>
              <w:t>JUDr. Roman Heinz, Ph.D.</w:t>
            </w:r>
            <w:r w:rsidR="00D5724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D57244">
              <w:rPr>
                <w:b/>
                <w:sz w:val="22"/>
                <w:szCs w:val="22"/>
              </w:rPr>
              <w:t>v.r.</w:t>
            </w:r>
            <w:proofErr w:type="gramEnd"/>
            <w:r w:rsidR="0075074F" w:rsidRPr="006B59D6">
              <w:rPr>
                <w:b/>
                <w:sz w:val="22"/>
                <w:szCs w:val="22"/>
              </w:rPr>
              <w:t xml:space="preserve"> </w:t>
            </w:r>
          </w:p>
          <w:p w:rsidR="0070739B" w:rsidRPr="006B59D6" w:rsidRDefault="0070739B" w:rsidP="008B6EB0">
            <w:pPr>
              <w:rPr>
                <w:sz w:val="22"/>
                <w:szCs w:val="22"/>
              </w:rPr>
            </w:pPr>
            <w:r w:rsidRPr="006B59D6">
              <w:rPr>
                <w:sz w:val="22"/>
                <w:szCs w:val="22"/>
              </w:rPr>
              <w:t>pověřen vedením úseku dopravy a majetku</w:t>
            </w: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B50791" w:rsidRDefault="0070739B" w:rsidP="008B6EB0">
            <w:pPr>
              <w:rPr>
                <w:b/>
                <w:iCs/>
                <w:sz w:val="22"/>
                <w:szCs w:val="22"/>
              </w:rPr>
            </w:pPr>
            <w:r w:rsidRPr="00B50791">
              <w:rPr>
                <w:b/>
                <w:sz w:val="22"/>
                <w:szCs w:val="22"/>
              </w:rPr>
              <w:t>Ing. Antonín Tesařík</w:t>
            </w:r>
            <w:r w:rsidR="003951D8">
              <w:rPr>
                <w:b/>
                <w:sz w:val="22"/>
                <w:szCs w:val="22"/>
              </w:rPr>
              <w:t xml:space="preserve"> </w:t>
            </w:r>
            <w:r w:rsidR="003951D8">
              <w:rPr>
                <w:b/>
                <w:sz w:val="22"/>
                <w:szCs w:val="22"/>
              </w:rPr>
              <w:br/>
            </w:r>
            <w:proofErr w:type="gramStart"/>
            <w:r w:rsidR="003951D8">
              <w:rPr>
                <w:b/>
                <w:sz w:val="22"/>
                <w:szCs w:val="22"/>
              </w:rPr>
              <w:t>v.r.</w:t>
            </w:r>
            <w:proofErr w:type="gramEnd"/>
          </w:p>
          <w:p w:rsidR="0070739B" w:rsidRPr="006B59D6" w:rsidRDefault="0070739B" w:rsidP="008B6EB0">
            <w:r w:rsidRPr="00B50791">
              <w:rPr>
                <w:sz w:val="22"/>
                <w:szCs w:val="22"/>
              </w:rPr>
              <w:t>člen RJMK</w:t>
            </w: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:rsidR="0070739B" w:rsidRPr="006B59D6" w:rsidRDefault="0070739B" w:rsidP="008B6EB0">
            <w:pPr>
              <w:spacing w:line="276" w:lineRule="auto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0739B" w:rsidRPr="006B59D6" w:rsidTr="008B6EB0">
        <w:trPr>
          <w:trHeight w:val="283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ind w:left="70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B59D6">
              <w:rPr>
                <w:bCs/>
                <w:i/>
                <w:iCs/>
                <w:color w:val="000000"/>
                <w:sz w:val="22"/>
                <w:szCs w:val="22"/>
              </w:rPr>
              <w:t>Spolupředkládá</w:t>
            </w:r>
            <w:proofErr w:type="spellEnd"/>
            <w:r w:rsidRPr="006B59D6">
              <w:rPr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70739B" w:rsidRPr="006B59D6" w:rsidTr="008B6EB0">
        <w:trPr>
          <w:trHeight w:val="283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ind w:left="70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rPr>
                <w:b/>
                <w:iCs/>
                <w:sz w:val="22"/>
                <w:szCs w:val="22"/>
              </w:rPr>
            </w:pPr>
            <w:r w:rsidRPr="006B59D6">
              <w:rPr>
                <w:b/>
                <w:bCs/>
                <w:sz w:val="22"/>
                <w:szCs w:val="22"/>
              </w:rPr>
              <w:t>JUDr. Věra Vojáčková, MPA</w:t>
            </w:r>
            <w:r w:rsidR="0075074F" w:rsidRPr="006B59D6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D57244">
              <w:rPr>
                <w:b/>
                <w:bCs/>
                <w:sz w:val="22"/>
                <w:szCs w:val="22"/>
              </w:rPr>
              <w:t>v.r.</w:t>
            </w:r>
            <w:proofErr w:type="gramEnd"/>
          </w:p>
          <w:p w:rsidR="0070739B" w:rsidRPr="006B59D6" w:rsidRDefault="0070739B" w:rsidP="008B6EB0">
            <w:pPr>
              <w:rPr>
                <w:bCs/>
                <w:sz w:val="22"/>
                <w:szCs w:val="22"/>
              </w:rPr>
            </w:pPr>
            <w:r w:rsidRPr="006B59D6">
              <w:rPr>
                <w:bCs/>
                <w:sz w:val="22"/>
                <w:szCs w:val="22"/>
              </w:rPr>
              <w:t>ředitelka</w:t>
            </w:r>
          </w:p>
          <w:p w:rsidR="0070739B" w:rsidRPr="006B59D6" w:rsidRDefault="0070739B" w:rsidP="008B6EB0">
            <w:pPr>
              <w:rPr>
                <w:bCs/>
                <w:sz w:val="22"/>
                <w:szCs w:val="22"/>
              </w:rPr>
            </w:pPr>
          </w:p>
          <w:p w:rsidR="0070739B" w:rsidRPr="006B59D6" w:rsidRDefault="0070739B" w:rsidP="008B6EB0">
            <w:pPr>
              <w:rPr>
                <w:bCs/>
                <w:sz w:val="22"/>
                <w:szCs w:val="22"/>
              </w:rPr>
            </w:pPr>
          </w:p>
          <w:p w:rsidR="0070739B" w:rsidRPr="006B59D6" w:rsidRDefault="0070739B" w:rsidP="008B6EB0">
            <w:pPr>
              <w:rPr>
                <w:bCs/>
                <w:sz w:val="22"/>
                <w:szCs w:val="22"/>
              </w:rPr>
            </w:pPr>
          </w:p>
          <w:p w:rsidR="0070739B" w:rsidRPr="006B59D6" w:rsidRDefault="0070739B" w:rsidP="008B6EB0">
            <w:pPr>
              <w:rPr>
                <w:bCs/>
                <w:sz w:val="22"/>
                <w:szCs w:val="22"/>
              </w:rPr>
            </w:pP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70739B" w:rsidRPr="006B59D6" w:rsidTr="008B6EB0">
        <w:trPr>
          <w:trHeight w:val="28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ind w:left="7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Dotčené odbory: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Dotčené odbory: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Dotčené odbory: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Dotčené odbory:</w:t>
            </w:r>
          </w:p>
        </w:tc>
      </w:tr>
      <w:tr w:rsidR="0070739B" w:rsidRPr="006B59D6" w:rsidTr="008B6EB0">
        <w:trPr>
          <w:trHeight w:val="209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6B59D6">
              <w:rPr>
                <w:b/>
                <w:bCs/>
                <w:sz w:val="22"/>
                <w:szCs w:val="22"/>
              </w:rPr>
              <w:t>Ing. Ludmila Hrachovinová</w:t>
            </w:r>
            <w:r w:rsidR="00D57244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D57244">
              <w:rPr>
                <w:b/>
                <w:bCs/>
                <w:sz w:val="22"/>
                <w:szCs w:val="22"/>
              </w:rPr>
              <w:t>v.r.</w:t>
            </w:r>
            <w:proofErr w:type="gramEnd"/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9D6">
              <w:rPr>
                <w:sz w:val="22"/>
                <w:szCs w:val="22"/>
              </w:rPr>
              <w:t>vedoucí odboru ekonomického</w:t>
            </w: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6B59D6">
              <w:rPr>
                <w:b/>
                <w:sz w:val="22"/>
                <w:szCs w:val="22"/>
              </w:rPr>
              <w:t>JUDr. Roman Heinz, Ph.D.</w:t>
            </w:r>
            <w:r w:rsidR="0075074F" w:rsidRPr="006B59D6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D57244">
              <w:rPr>
                <w:b/>
                <w:sz w:val="22"/>
                <w:szCs w:val="22"/>
              </w:rPr>
              <w:t>v.r.</w:t>
            </w:r>
            <w:proofErr w:type="gramEnd"/>
          </w:p>
          <w:p w:rsidR="0070739B" w:rsidRPr="006B59D6" w:rsidRDefault="0070739B" w:rsidP="008B6EB0">
            <w:pPr>
              <w:rPr>
                <w:sz w:val="22"/>
                <w:szCs w:val="22"/>
              </w:rPr>
            </w:pPr>
            <w:r w:rsidRPr="006B59D6">
              <w:rPr>
                <w:iCs/>
                <w:color w:val="000000"/>
                <w:sz w:val="22"/>
                <w:szCs w:val="22"/>
              </w:rPr>
              <w:t>vedoucí odboru kontrolního a právního</w:t>
            </w:r>
          </w:p>
          <w:p w:rsidR="0070739B" w:rsidRPr="006B59D6" w:rsidRDefault="0070739B" w:rsidP="008B6EB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0739B" w:rsidRPr="006B59D6" w:rsidRDefault="0070739B" w:rsidP="008B6EB0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6B59D6">
              <w:rPr>
                <w:b/>
                <w:sz w:val="22"/>
                <w:szCs w:val="22"/>
              </w:rPr>
              <w:t>Ing. Rostislav Snovický</w:t>
            </w:r>
            <w:r w:rsidR="0075074F" w:rsidRPr="006B59D6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D57244">
              <w:rPr>
                <w:b/>
                <w:sz w:val="22"/>
                <w:szCs w:val="22"/>
              </w:rPr>
              <w:t>v.r.</w:t>
            </w:r>
            <w:proofErr w:type="gramEnd"/>
          </w:p>
          <w:p w:rsidR="0070739B" w:rsidRPr="006B59D6" w:rsidRDefault="0070739B" w:rsidP="008B6EB0">
            <w:pPr>
              <w:rPr>
                <w:sz w:val="22"/>
                <w:szCs w:val="22"/>
              </w:rPr>
            </w:pPr>
            <w:r w:rsidRPr="006B59D6">
              <w:rPr>
                <w:sz w:val="22"/>
                <w:szCs w:val="22"/>
              </w:rPr>
              <w:t>vedoucí odboru rozvoje dopravy</w:t>
            </w: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0739B" w:rsidRPr="006B59D6" w:rsidRDefault="0070739B" w:rsidP="008B6EB0">
            <w:pPr>
              <w:rPr>
                <w:b/>
                <w:sz w:val="22"/>
                <w:szCs w:val="22"/>
              </w:rPr>
            </w:pPr>
            <w:r w:rsidRPr="006B59D6">
              <w:rPr>
                <w:b/>
                <w:sz w:val="22"/>
                <w:szCs w:val="22"/>
              </w:rPr>
              <w:t>Ing. Pavel Šrom</w:t>
            </w:r>
            <w:r w:rsidR="00AC6F11" w:rsidRPr="006B59D6">
              <w:rPr>
                <w:b/>
                <w:sz w:val="22"/>
                <w:szCs w:val="22"/>
              </w:rPr>
              <w:t xml:space="preserve"> </w:t>
            </w:r>
            <w:r w:rsidR="00D57244">
              <w:rPr>
                <w:b/>
                <w:sz w:val="22"/>
                <w:szCs w:val="22"/>
              </w:rPr>
              <w:t>v.r.</w:t>
            </w:r>
          </w:p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Cs w:val="20"/>
              </w:rPr>
            </w:pPr>
            <w:r w:rsidRPr="006B59D6">
              <w:rPr>
                <w:iCs/>
                <w:color w:val="000000"/>
                <w:sz w:val="22"/>
                <w:szCs w:val="22"/>
              </w:rPr>
              <w:t>vedoucí odboru investic</w:t>
            </w:r>
          </w:p>
          <w:p w:rsidR="0070739B" w:rsidRPr="006B59D6" w:rsidRDefault="0070739B" w:rsidP="008B6EB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70739B" w:rsidRPr="006B59D6" w:rsidTr="008B6EB0">
        <w:trPr>
          <w:trHeight w:val="22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ind w:left="7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Dotčené odbory: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Dotčené odbory: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Další dotčené odbory: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6B59D6">
              <w:rPr>
                <w:i/>
                <w:iCs/>
                <w:color w:val="000000"/>
                <w:sz w:val="22"/>
                <w:szCs w:val="22"/>
              </w:rPr>
              <w:t>Další dotčené odbory:</w:t>
            </w:r>
          </w:p>
        </w:tc>
      </w:tr>
      <w:tr w:rsidR="0070739B" w:rsidRPr="006B59D6" w:rsidTr="008B6EB0">
        <w:trPr>
          <w:trHeight w:val="209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0739B" w:rsidRPr="006B59D6" w:rsidRDefault="0070739B" w:rsidP="008B6EB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0739B" w:rsidRPr="006B59D6" w:rsidRDefault="0070739B" w:rsidP="008B6EB0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70739B" w:rsidRPr="006B59D6" w:rsidRDefault="0070739B" w:rsidP="008B6EB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6A5D45" w:rsidRPr="006B59D6" w:rsidRDefault="006A5D45" w:rsidP="006A5D45">
      <w:pPr>
        <w:rPr>
          <w:bCs/>
          <w:spacing w:val="-9"/>
        </w:rPr>
      </w:pPr>
    </w:p>
    <w:p w:rsidR="002C7C73" w:rsidRPr="006B59D6" w:rsidRDefault="002C7C73" w:rsidP="002C7C73">
      <w:pPr>
        <w:jc w:val="both"/>
      </w:pPr>
    </w:p>
    <w:p w:rsidR="00263347" w:rsidRPr="006B59D6" w:rsidRDefault="00263347" w:rsidP="004E5B37">
      <w:pPr>
        <w:spacing w:line="276" w:lineRule="auto"/>
        <w:jc w:val="center"/>
        <w:rPr>
          <w:b/>
        </w:rPr>
      </w:pPr>
    </w:p>
    <w:p w:rsidR="00CD2409" w:rsidRPr="006B59D6" w:rsidRDefault="002C7C73" w:rsidP="004E5B37">
      <w:pPr>
        <w:spacing w:line="276" w:lineRule="auto"/>
        <w:jc w:val="center"/>
        <w:rPr>
          <w:b/>
        </w:rPr>
      </w:pPr>
      <w:r w:rsidRPr="006B59D6">
        <w:rPr>
          <w:b/>
        </w:rPr>
        <w:lastRenderedPageBreak/>
        <w:t>D</w:t>
      </w:r>
      <w:r w:rsidR="00353D2D" w:rsidRPr="006B59D6">
        <w:rPr>
          <w:b/>
        </w:rPr>
        <w:t> </w:t>
      </w:r>
      <w:r w:rsidRPr="006B59D6">
        <w:rPr>
          <w:b/>
        </w:rPr>
        <w:t>ů</w:t>
      </w:r>
      <w:r w:rsidR="00353D2D" w:rsidRPr="006B59D6">
        <w:rPr>
          <w:b/>
        </w:rPr>
        <w:t> </w:t>
      </w:r>
      <w:r w:rsidRPr="006B59D6">
        <w:rPr>
          <w:b/>
        </w:rPr>
        <w:t>v</w:t>
      </w:r>
      <w:r w:rsidR="004E5B37" w:rsidRPr="006B59D6">
        <w:rPr>
          <w:b/>
        </w:rPr>
        <w:t> </w:t>
      </w:r>
      <w:r w:rsidRPr="006B59D6">
        <w:rPr>
          <w:b/>
        </w:rPr>
        <w:t>o</w:t>
      </w:r>
      <w:r w:rsidR="00353D2D" w:rsidRPr="006B59D6">
        <w:rPr>
          <w:b/>
        </w:rPr>
        <w:t> </w:t>
      </w:r>
      <w:r w:rsidRPr="006B59D6">
        <w:rPr>
          <w:b/>
        </w:rPr>
        <w:t>d</w:t>
      </w:r>
      <w:r w:rsidR="00353D2D" w:rsidRPr="006B59D6">
        <w:rPr>
          <w:b/>
        </w:rPr>
        <w:t> </w:t>
      </w:r>
      <w:r w:rsidRPr="006B59D6">
        <w:rPr>
          <w:b/>
        </w:rPr>
        <w:t>o</w:t>
      </w:r>
      <w:r w:rsidR="00353D2D" w:rsidRPr="006B59D6">
        <w:rPr>
          <w:b/>
        </w:rPr>
        <w:t> </w:t>
      </w:r>
      <w:r w:rsidRPr="006B59D6">
        <w:rPr>
          <w:b/>
        </w:rPr>
        <w:t>v</w:t>
      </w:r>
      <w:r w:rsidR="004E5B37" w:rsidRPr="006B59D6">
        <w:rPr>
          <w:b/>
        </w:rPr>
        <w:t> </w:t>
      </w:r>
      <w:r w:rsidRPr="006B59D6">
        <w:rPr>
          <w:b/>
        </w:rPr>
        <w:t>á</w:t>
      </w:r>
      <w:r w:rsidR="00353D2D" w:rsidRPr="006B59D6">
        <w:rPr>
          <w:b/>
        </w:rPr>
        <w:t>    </w:t>
      </w:r>
      <w:r w:rsidRPr="006B59D6">
        <w:rPr>
          <w:b/>
        </w:rPr>
        <w:t>z</w:t>
      </w:r>
      <w:r w:rsidR="004E5B37" w:rsidRPr="006B59D6">
        <w:rPr>
          <w:b/>
        </w:rPr>
        <w:t> </w:t>
      </w:r>
      <w:r w:rsidRPr="006B59D6">
        <w:rPr>
          <w:b/>
        </w:rPr>
        <w:t>p</w:t>
      </w:r>
      <w:r w:rsidR="00353D2D" w:rsidRPr="006B59D6">
        <w:rPr>
          <w:b/>
        </w:rPr>
        <w:t> </w:t>
      </w:r>
      <w:r w:rsidRPr="006B59D6">
        <w:rPr>
          <w:b/>
        </w:rPr>
        <w:t>r</w:t>
      </w:r>
      <w:r w:rsidR="00353D2D" w:rsidRPr="006B59D6">
        <w:rPr>
          <w:b/>
        </w:rPr>
        <w:t> </w:t>
      </w:r>
      <w:r w:rsidRPr="006B59D6">
        <w:rPr>
          <w:b/>
        </w:rPr>
        <w:t>á</w:t>
      </w:r>
      <w:r w:rsidR="00353D2D" w:rsidRPr="006B59D6">
        <w:rPr>
          <w:b/>
        </w:rPr>
        <w:t> </w:t>
      </w:r>
      <w:r w:rsidRPr="006B59D6">
        <w:rPr>
          <w:b/>
        </w:rPr>
        <w:t>v</w:t>
      </w:r>
      <w:r w:rsidR="00353D2D" w:rsidRPr="006B59D6">
        <w:rPr>
          <w:b/>
        </w:rPr>
        <w:t> </w:t>
      </w:r>
      <w:r w:rsidRPr="006B59D6">
        <w:rPr>
          <w:b/>
        </w:rPr>
        <w:t>a</w:t>
      </w:r>
    </w:p>
    <w:p w:rsidR="0089246B" w:rsidRPr="006B59D6" w:rsidRDefault="0089246B" w:rsidP="004E5B37">
      <w:pPr>
        <w:spacing w:line="276" w:lineRule="auto"/>
      </w:pPr>
    </w:p>
    <w:p w:rsidR="0089246B" w:rsidRPr="006B59D6" w:rsidRDefault="0089246B" w:rsidP="004E5B37">
      <w:pPr>
        <w:spacing w:line="276" w:lineRule="auto"/>
      </w:pPr>
    </w:p>
    <w:p w:rsidR="0089246B" w:rsidRPr="006B59D6" w:rsidRDefault="0089246B" w:rsidP="004E5B37">
      <w:pPr>
        <w:spacing w:line="276" w:lineRule="auto"/>
      </w:pPr>
    </w:p>
    <w:p w:rsidR="004E5B37" w:rsidRPr="003951D8" w:rsidRDefault="006A5D45" w:rsidP="00C80E50">
      <w:p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lang w:eastAsia="x-none"/>
        </w:rPr>
      </w:pPr>
      <w:r w:rsidRPr="003951D8">
        <w:t>Rada Jihomoravského kraje svým u</w:t>
      </w:r>
      <w:r w:rsidR="000B583B" w:rsidRPr="003951D8">
        <w:t>snesením č. 9772/16</w:t>
      </w:r>
      <w:r w:rsidR="006373CB" w:rsidRPr="003951D8">
        <w:t>/R</w:t>
      </w:r>
      <w:r w:rsidR="000B583B" w:rsidRPr="003951D8">
        <w:t>1</w:t>
      </w:r>
      <w:r w:rsidR="006373CB" w:rsidRPr="003951D8">
        <w:t>45 ze dne 30.</w:t>
      </w:r>
      <w:r w:rsidR="00E5183A" w:rsidRPr="003951D8">
        <w:t xml:space="preserve"> </w:t>
      </w:r>
      <w:r w:rsidR="006373CB" w:rsidRPr="003951D8">
        <w:t>5</w:t>
      </w:r>
      <w:r w:rsidR="0075074F" w:rsidRPr="003951D8">
        <w:t>.</w:t>
      </w:r>
      <w:r w:rsidR="00E5183A" w:rsidRPr="003951D8">
        <w:t xml:space="preserve"> </w:t>
      </w:r>
      <w:r w:rsidR="006373CB" w:rsidRPr="003951D8">
        <w:t>2016</w:t>
      </w:r>
      <w:r w:rsidRPr="003951D8">
        <w:t xml:space="preserve"> </w:t>
      </w:r>
      <w:r w:rsidR="000B583B" w:rsidRPr="003951D8">
        <w:t xml:space="preserve">vzala na vědomí </w:t>
      </w:r>
      <w:r w:rsidR="003F1324" w:rsidRPr="003951D8">
        <w:t>předložený návrh</w:t>
      </w:r>
      <w:r w:rsidR="000B583B" w:rsidRPr="003951D8">
        <w:t xml:space="preserve"> textu zprávy </w:t>
      </w:r>
      <w:r w:rsidR="000B583B" w:rsidRPr="003951D8">
        <w:rPr>
          <w:bCs/>
        </w:rPr>
        <w:t>„</w:t>
      </w:r>
      <w:r w:rsidR="000B583B" w:rsidRPr="003951D8">
        <w:t xml:space="preserve">Nezávislá právní </w:t>
      </w:r>
      <w:r w:rsidR="00E5183A" w:rsidRPr="003951D8">
        <w:t xml:space="preserve">a ekonomická </w:t>
      </w:r>
      <w:r w:rsidR="000B583B" w:rsidRPr="003951D8">
        <w:t xml:space="preserve">analýza smluv </w:t>
      </w:r>
      <w:r w:rsidR="00217ADE" w:rsidRPr="003951D8">
        <w:br/>
      </w:r>
      <w:r w:rsidR="000B583B" w:rsidRPr="003951D8">
        <w:t>s provozovatelem letiště“, zpracovaného společností KŠD LEGAL advokátní kancelář s.r.o., IČO: 25 71 12 29, se sídlem</w:t>
      </w:r>
      <w:r w:rsidR="003F1324" w:rsidRPr="003951D8">
        <w:t xml:space="preserve"> Hvězdova 1716/2b, 140 00 Praha a uložila Krajskému úřadu </w:t>
      </w:r>
      <w:r w:rsidR="003F1324" w:rsidRPr="003951D8">
        <w:rPr>
          <w:rFonts w:eastAsia="Calibri"/>
          <w:lang w:eastAsia="en-US"/>
        </w:rPr>
        <w:t>Jihomoravského kraje</w:t>
      </w:r>
      <w:r w:rsidR="003F1324" w:rsidRPr="003951D8">
        <w:t xml:space="preserve"> zajistit ve spolupráci se společností KŠD LEGAL advokátní kanceláří s.r.o. zpracování finální</w:t>
      </w:r>
      <w:r w:rsidR="00E5183A" w:rsidRPr="003951D8">
        <w:t xml:space="preserve"> </w:t>
      </w:r>
      <w:r w:rsidR="003F1324" w:rsidRPr="003951D8">
        <w:t xml:space="preserve">podoby zprávy „Nezávislá právní </w:t>
      </w:r>
      <w:r w:rsidR="00263347" w:rsidRPr="003951D8">
        <w:t xml:space="preserve">a ekonomická </w:t>
      </w:r>
      <w:r w:rsidR="003F1324" w:rsidRPr="003951D8">
        <w:t>analýza smluv s provozovatelem letiště“ s vypořádáním připomínek</w:t>
      </w:r>
      <w:r w:rsidR="00263347" w:rsidRPr="003951D8">
        <w:t>, které byly ve stanovené lhůtě předány zpracovateli. Do souhrnného vyjádření Krajského úřadu Jihomoravského kraje byl</w:t>
      </w:r>
      <w:r w:rsidR="00C80E50" w:rsidRPr="003951D8">
        <w:t>y</w:t>
      </w:r>
      <w:r w:rsidR="00263347" w:rsidRPr="003951D8">
        <w:t xml:space="preserve"> </w:t>
      </w:r>
      <w:r w:rsidR="00C80E50" w:rsidRPr="003951D8">
        <w:t>zapracovány</w:t>
      </w:r>
      <w:r w:rsidR="00263347" w:rsidRPr="003951D8">
        <w:t xml:space="preserve"> připomínk</w:t>
      </w:r>
      <w:r w:rsidR="00C80E50" w:rsidRPr="003951D8">
        <w:t>y</w:t>
      </w:r>
      <w:r w:rsidR="00263347" w:rsidRPr="003951D8">
        <w:t xml:space="preserve"> odboru </w:t>
      </w:r>
      <w:r w:rsidR="00C80E50" w:rsidRPr="003951D8">
        <w:t xml:space="preserve">rozvoje </w:t>
      </w:r>
      <w:r w:rsidR="00263347" w:rsidRPr="003951D8">
        <w:t>dopravy, odboru ekonomického, odboru majetkového, odboru regionálního rozvoje, odboru investic</w:t>
      </w:r>
      <w:r w:rsidR="00C80E50" w:rsidRPr="003951D8">
        <w:t xml:space="preserve"> a odboru kontrolního a právního. Do finální podoby </w:t>
      </w:r>
      <w:r w:rsidR="008A78F6" w:rsidRPr="003951D8">
        <w:t>„Nezávislé právní a ekonomické analýzy smluv s provozovatelem letiště“</w:t>
      </w:r>
      <w:r w:rsidR="00B12E94" w:rsidRPr="003951D8">
        <w:t xml:space="preserve"> byla</w:t>
      </w:r>
      <w:r w:rsidR="00C80E50" w:rsidRPr="003951D8">
        <w:t xml:space="preserve"> společností KŠD LEGAL advok</w:t>
      </w:r>
      <w:r w:rsidR="005A27E1" w:rsidRPr="003951D8">
        <w:t xml:space="preserve">átní kancelář s.r.o. </w:t>
      </w:r>
      <w:r w:rsidR="00B12E94" w:rsidRPr="003951D8">
        <w:t xml:space="preserve">část připomínek </w:t>
      </w:r>
      <w:r w:rsidR="00C80E50" w:rsidRPr="003951D8">
        <w:t>Krajského úřadu Jihomoravského kraje</w:t>
      </w:r>
      <w:r w:rsidR="005A27E1" w:rsidRPr="003951D8">
        <w:t xml:space="preserve"> zapracována</w:t>
      </w:r>
      <w:r w:rsidR="00C80E50" w:rsidRPr="003951D8">
        <w:t>. Připomínky společnosti LETIŠTĚ BRNO</w:t>
      </w:r>
      <w:r w:rsidR="001908E3">
        <w:t>,</w:t>
      </w:r>
      <w:r w:rsidR="00C80E50" w:rsidRPr="003951D8">
        <w:t xml:space="preserve"> a.s. byly </w:t>
      </w:r>
      <w:r w:rsidR="00B50791" w:rsidRPr="003951D8">
        <w:t>zapracov</w:t>
      </w:r>
      <w:r w:rsidR="005A27E1" w:rsidRPr="003951D8">
        <w:t>ány rovněž</w:t>
      </w:r>
      <w:r w:rsidR="00C80E50" w:rsidRPr="003951D8">
        <w:t xml:space="preserve"> částečně, </w:t>
      </w:r>
      <w:r w:rsidR="00990033" w:rsidRPr="003951D8">
        <w:t xml:space="preserve">o vypořádání byli zástupci společnosti </w:t>
      </w:r>
      <w:r w:rsidR="001908E3" w:rsidRPr="003951D8">
        <w:t>LETIŠTĚ BRNO</w:t>
      </w:r>
      <w:r w:rsidR="00990033" w:rsidRPr="003951D8">
        <w:t>, a.s. zpracovatelem společností KŠD LEGAL advokátní kancelář s.r.o. informováni.</w:t>
      </w:r>
      <w:bookmarkStart w:id="0" w:name="_GoBack"/>
      <w:bookmarkEnd w:id="0"/>
    </w:p>
    <w:p w:rsidR="0086780B" w:rsidRPr="003951D8" w:rsidRDefault="006A5D45" w:rsidP="00E5183A">
      <w:pPr>
        <w:spacing w:line="360" w:lineRule="auto"/>
        <w:jc w:val="both"/>
      </w:pPr>
      <w:r w:rsidRPr="003951D8">
        <w:t xml:space="preserve">Nyní je </w:t>
      </w:r>
      <w:r w:rsidR="006B59D6" w:rsidRPr="003951D8">
        <w:t>Radě Jihomoravského kraje</w:t>
      </w:r>
      <w:r w:rsidRPr="003951D8">
        <w:t xml:space="preserve"> předkládán</w:t>
      </w:r>
      <w:r w:rsidR="003F1324" w:rsidRPr="003951D8">
        <w:t>a</w:t>
      </w:r>
      <w:r w:rsidR="00EC5791" w:rsidRPr="003951D8">
        <w:t xml:space="preserve"> na vědomí</w:t>
      </w:r>
      <w:r w:rsidR="00C80E50" w:rsidRPr="003951D8">
        <w:t xml:space="preserve"> finální verze </w:t>
      </w:r>
      <w:r w:rsidR="00396AE9" w:rsidRPr="003951D8">
        <w:rPr>
          <w:bCs/>
        </w:rPr>
        <w:t>„</w:t>
      </w:r>
      <w:r w:rsidR="00396AE9" w:rsidRPr="003951D8">
        <w:t>Nezávisl</w:t>
      </w:r>
      <w:r w:rsidR="00C80E50" w:rsidRPr="003951D8">
        <w:t>é</w:t>
      </w:r>
      <w:r w:rsidR="00396AE9" w:rsidRPr="003951D8">
        <w:t xml:space="preserve"> právní </w:t>
      </w:r>
      <w:r w:rsidR="00217ADE" w:rsidRPr="003951D8">
        <w:br/>
      </w:r>
      <w:r w:rsidR="00E5183A" w:rsidRPr="003951D8">
        <w:t>a ekonomick</w:t>
      </w:r>
      <w:r w:rsidR="00C80E50" w:rsidRPr="003951D8">
        <w:t>é</w:t>
      </w:r>
      <w:r w:rsidR="00E5183A" w:rsidRPr="003951D8">
        <w:t xml:space="preserve"> </w:t>
      </w:r>
      <w:r w:rsidR="00396AE9" w:rsidRPr="003951D8">
        <w:t>analýz</w:t>
      </w:r>
      <w:r w:rsidR="00C80E50" w:rsidRPr="003951D8">
        <w:t>y</w:t>
      </w:r>
      <w:r w:rsidR="00396AE9" w:rsidRPr="003951D8">
        <w:t xml:space="preserve"> smluv s provozovatelem letiště“</w:t>
      </w:r>
      <w:r w:rsidR="003F1324" w:rsidRPr="003951D8">
        <w:rPr>
          <w:bCs/>
        </w:rPr>
        <w:t xml:space="preserve">. </w:t>
      </w:r>
    </w:p>
    <w:p w:rsidR="0086780B" w:rsidRPr="003951D8" w:rsidRDefault="00EC5791" w:rsidP="00E5183A">
      <w:pPr>
        <w:spacing w:line="360" w:lineRule="auto"/>
        <w:jc w:val="both"/>
        <w:rPr>
          <w:bCs/>
        </w:rPr>
      </w:pPr>
      <w:r w:rsidRPr="003951D8">
        <w:t xml:space="preserve">V souvislosti s výše předloženou </w:t>
      </w:r>
      <w:r w:rsidR="006B59D6" w:rsidRPr="003951D8">
        <w:t xml:space="preserve">„Nezávislou právní a ekonomickou analýzou smluv </w:t>
      </w:r>
      <w:r w:rsidR="00217ADE" w:rsidRPr="003951D8">
        <w:br/>
      </w:r>
      <w:r w:rsidR="006B59D6" w:rsidRPr="003951D8">
        <w:t xml:space="preserve">s provozovatelem letiště“ </w:t>
      </w:r>
      <w:r w:rsidRPr="003951D8">
        <w:t>je současně R</w:t>
      </w:r>
      <w:r w:rsidR="006B59D6" w:rsidRPr="003951D8">
        <w:t>adě Jihomoravského kraje</w:t>
      </w:r>
      <w:r w:rsidRPr="003951D8">
        <w:t xml:space="preserve"> </w:t>
      </w:r>
      <w:r w:rsidR="006B59D6" w:rsidRPr="003951D8">
        <w:t xml:space="preserve">navrženo </w:t>
      </w:r>
      <w:r w:rsidRPr="003951D8">
        <w:t>uložit řed</w:t>
      </w:r>
      <w:r w:rsidR="00E5183A" w:rsidRPr="003951D8">
        <w:t>itelce</w:t>
      </w:r>
      <w:r w:rsidRPr="003951D8">
        <w:t xml:space="preserve"> </w:t>
      </w:r>
      <w:proofErr w:type="spellStart"/>
      <w:r w:rsidRPr="003951D8">
        <w:t>KrÚ</w:t>
      </w:r>
      <w:proofErr w:type="spellEnd"/>
      <w:r w:rsidRPr="003951D8">
        <w:t xml:space="preserve">, </w:t>
      </w:r>
      <w:r w:rsidR="006B59D6" w:rsidRPr="003951D8">
        <w:rPr>
          <w:bCs/>
        </w:rPr>
        <w:t xml:space="preserve">zabezpečení vyhodnocení doporučení uvedených v analýze a nastavení příslušných procesních postupů v rámci </w:t>
      </w:r>
      <w:proofErr w:type="spellStart"/>
      <w:r w:rsidR="006B59D6" w:rsidRPr="003951D8">
        <w:rPr>
          <w:bCs/>
        </w:rPr>
        <w:t>KrÚ</w:t>
      </w:r>
      <w:proofErr w:type="spellEnd"/>
      <w:r w:rsidR="006B59D6" w:rsidRPr="003951D8">
        <w:rPr>
          <w:bCs/>
        </w:rPr>
        <w:t xml:space="preserve"> ve vazbě na Smlouvu o nájmu a provozování mezinárodního veřejného letiště Brno-Tuřany.</w:t>
      </w:r>
    </w:p>
    <w:p w:rsidR="00DF6ACA" w:rsidRPr="006B59D6" w:rsidRDefault="00DF6ACA" w:rsidP="004E5B37">
      <w:pPr>
        <w:spacing w:line="276" w:lineRule="auto"/>
        <w:jc w:val="both"/>
        <w:rPr>
          <w:bCs/>
          <w:spacing w:val="-9"/>
        </w:rPr>
      </w:pPr>
    </w:p>
    <w:p w:rsidR="00D97420" w:rsidRPr="006B59D6" w:rsidRDefault="00D97420" w:rsidP="00D97420">
      <w:pPr>
        <w:spacing w:line="276" w:lineRule="auto"/>
      </w:pPr>
    </w:p>
    <w:p w:rsidR="00DF6ACA" w:rsidRPr="006B59D6" w:rsidRDefault="00DF6ACA" w:rsidP="004E5B37">
      <w:pPr>
        <w:spacing w:line="276" w:lineRule="auto"/>
        <w:jc w:val="both"/>
        <w:rPr>
          <w:bCs/>
          <w:spacing w:val="-9"/>
        </w:rPr>
      </w:pPr>
    </w:p>
    <w:p w:rsidR="00DF6ACA" w:rsidRPr="006B59D6" w:rsidRDefault="00DF6ACA" w:rsidP="004E5B37">
      <w:pPr>
        <w:spacing w:line="276" w:lineRule="auto"/>
        <w:jc w:val="both"/>
        <w:rPr>
          <w:bCs/>
          <w:spacing w:val="-9"/>
        </w:rPr>
      </w:pPr>
    </w:p>
    <w:p w:rsidR="00DF6ACA" w:rsidRPr="006B59D6" w:rsidRDefault="00DF6ACA" w:rsidP="004E5B37">
      <w:pPr>
        <w:spacing w:line="276" w:lineRule="auto"/>
        <w:jc w:val="both"/>
        <w:rPr>
          <w:bCs/>
          <w:spacing w:val="-9"/>
        </w:rPr>
      </w:pPr>
    </w:p>
    <w:p w:rsidR="00DF6ACA" w:rsidRPr="006B59D6" w:rsidRDefault="00DF6ACA" w:rsidP="004E5B37">
      <w:pPr>
        <w:spacing w:line="276" w:lineRule="auto"/>
        <w:jc w:val="both"/>
        <w:rPr>
          <w:bCs/>
          <w:spacing w:val="-9"/>
        </w:rPr>
      </w:pPr>
    </w:p>
    <w:p w:rsidR="00DF6ACA" w:rsidRPr="006B59D6" w:rsidRDefault="00DF6ACA" w:rsidP="00D61867"/>
    <w:p w:rsidR="00377F4D" w:rsidRPr="006B59D6" w:rsidRDefault="00377F4D" w:rsidP="005D695B"/>
    <w:p w:rsidR="00377F4D" w:rsidRPr="006B59D6" w:rsidRDefault="00377F4D" w:rsidP="00E5452D">
      <w:pPr>
        <w:jc w:val="both"/>
      </w:pPr>
      <w:r w:rsidRPr="006B59D6">
        <w:t>Příloha</w:t>
      </w:r>
      <w:r w:rsidR="00087422" w:rsidRPr="006B59D6">
        <w:t xml:space="preserve"> č. 1</w:t>
      </w:r>
      <w:r w:rsidR="003F1324" w:rsidRPr="006B59D6">
        <w:t xml:space="preserve">: </w:t>
      </w:r>
      <w:r w:rsidR="00F11947" w:rsidRPr="006B59D6">
        <w:t xml:space="preserve">Zpráva </w:t>
      </w:r>
      <w:r w:rsidR="00396AE9" w:rsidRPr="006B59D6">
        <w:rPr>
          <w:bCs/>
          <w:spacing w:val="-9"/>
        </w:rPr>
        <w:t>„</w:t>
      </w:r>
      <w:r w:rsidR="00396AE9" w:rsidRPr="006B59D6">
        <w:t xml:space="preserve">Nezávislá právní </w:t>
      </w:r>
      <w:r w:rsidR="00E5183A" w:rsidRPr="006B59D6">
        <w:t xml:space="preserve">a ekonomická </w:t>
      </w:r>
      <w:r w:rsidR="00396AE9" w:rsidRPr="006B59D6">
        <w:t>analýza smluv s provozovatelem letiště“</w:t>
      </w:r>
    </w:p>
    <w:p w:rsidR="00DC5024" w:rsidRPr="006B59D6" w:rsidRDefault="00DC5024" w:rsidP="00E5452D">
      <w:pPr>
        <w:jc w:val="both"/>
      </w:pPr>
    </w:p>
    <w:sectPr w:rsidR="00DC5024" w:rsidRPr="006B59D6" w:rsidSect="007726A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2AE"/>
    <w:multiLevelType w:val="hybridMultilevel"/>
    <w:tmpl w:val="F4586D62"/>
    <w:lvl w:ilvl="0" w:tplc="BF6AE9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3144"/>
    <w:multiLevelType w:val="hybridMultilevel"/>
    <w:tmpl w:val="E1B8E928"/>
    <w:lvl w:ilvl="0" w:tplc="F0E08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A6302"/>
    <w:multiLevelType w:val="hybridMultilevel"/>
    <w:tmpl w:val="AAA4D61E"/>
    <w:lvl w:ilvl="0" w:tplc="CB7CE4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20829"/>
    <w:multiLevelType w:val="hybridMultilevel"/>
    <w:tmpl w:val="985204D0"/>
    <w:lvl w:ilvl="0" w:tplc="394EEAA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73"/>
    <w:rsid w:val="000203D7"/>
    <w:rsid w:val="00073AE1"/>
    <w:rsid w:val="00087422"/>
    <w:rsid w:val="000B583B"/>
    <w:rsid w:val="000B779B"/>
    <w:rsid w:val="000C64B7"/>
    <w:rsid w:val="000D6D97"/>
    <w:rsid w:val="000F6E9E"/>
    <w:rsid w:val="00120BA7"/>
    <w:rsid w:val="001350AD"/>
    <w:rsid w:val="00174AFD"/>
    <w:rsid w:val="001908E3"/>
    <w:rsid w:val="001C32C9"/>
    <w:rsid w:val="00217ADE"/>
    <w:rsid w:val="002442C6"/>
    <w:rsid w:val="00262995"/>
    <w:rsid w:val="00263347"/>
    <w:rsid w:val="002725F3"/>
    <w:rsid w:val="002817E1"/>
    <w:rsid w:val="002B3611"/>
    <w:rsid w:val="002C7C73"/>
    <w:rsid w:val="00305AD7"/>
    <w:rsid w:val="003219C6"/>
    <w:rsid w:val="00353D2D"/>
    <w:rsid w:val="00377F4D"/>
    <w:rsid w:val="003951D8"/>
    <w:rsid w:val="00396AE9"/>
    <w:rsid w:val="00397AAE"/>
    <w:rsid w:val="003B262E"/>
    <w:rsid w:val="003C7148"/>
    <w:rsid w:val="003F1324"/>
    <w:rsid w:val="00465B8F"/>
    <w:rsid w:val="004762EE"/>
    <w:rsid w:val="004E5B37"/>
    <w:rsid w:val="00534A14"/>
    <w:rsid w:val="005603F0"/>
    <w:rsid w:val="00585C68"/>
    <w:rsid w:val="005A27E1"/>
    <w:rsid w:val="005A4840"/>
    <w:rsid w:val="005D695B"/>
    <w:rsid w:val="00635DF9"/>
    <w:rsid w:val="006373CB"/>
    <w:rsid w:val="006755D9"/>
    <w:rsid w:val="0068352C"/>
    <w:rsid w:val="006A5D45"/>
    <w:rsid w:val="006B59D6"/>
    <w:rsid w:val="006E586D"/>
    <w:rsid w:val="00703CDC"/>
    <w:rsid w:val="0070739B"/>
    <w:rsid w:val="007164CA"/>
    <w:rsid w:val="00721FB6"/>
    <w:rsid w:val="0075074F"/>
    <w:rsid w:val="007726AC"/>
    <w:rsid w:val="00784BD5"/>
    <w:rsid w:val="007A5E53"/>
    <w:rsid w:val="007B4351"/>
    <w:rsid w:val="007E3983"/>
    <w:rsid w:val="007E6B90"/>
    <w:rsid w:val="00820A86"/>
    <w:rsid w:val="0086780B"/>
    <w:rsid w:val="0089246B"/>
    <w:rsid w:val="008A78F6"/>
    <w:rsid w:val="008D1FC9"/>
    <w:rsid w:val="008D23B4"/>
    <w:rsid w:val="008E5128"/>
    <w:rsid w:val="00906383"/>
    <w:rsid w:val="00953F2E"/>
    <w:rsid w:val="00977F8F"/>
    <w:rsid w:val="00990033"/>
    <w:rsid w:val="009A3310"/>
    <w:rsid w:val="009B2A22"/>
    <w:rsid w:val="009F3C6A"/>
    <w:rsid w:val="00A1075D"/>
    <w:rsid w:val="00A107C3"/>
    <w:rsid w:val="00AC6F11"/>
    <w:rsid w:val="00B126B9"/>
    <w:rsid w:val="00B12E94"/>
    <w:rsid w:val="00B468EE"/>
    <w:rsid w:val="00B50791"/>
    <w:rsid w:val="00BA20A3"/>
    <w:rsid w:val="00BD45AC"/>
    <w:rsid w:val="00BF06EA"/>
    <w:rsid w:val="00BF6740"/>
    <w:rsid w:val="00C11305"/>
    <w:rsid w:val="00C42AE0"/>
    <w:rsid w:val="00C437CC"/>
    <w:rsid w:val="00C638F5"/>
    <w:rsid w:val="00C80E50"/>
    <w:rsid w:val="00C83CF3"/>
    <w:rsid w:val="00CA3FDD"/>
    <w:rsid w:val="00CA7F77"/>
    <w:rsid w:val="00CC26CA"/>
    <w:rsid w:val="00CD1AE8"/>
    <w:rsid w:val="00CD2409"/>
    <w:rsid w:val="00CF0D40"/>
    <w:rsid w:val="00D0414B"/>
    <w:rsid w:val="00D51C70"/>
    <w:rsid w:val="00D57244"/>
    <w:rsid w:val="00D61867"/>
    <w:rsid w:val="00D97420"/>
    <w:rsid w:val="00DC5024"/>
    <w:rsid w:val="00DF6ACA"/>
    <w:rsid w:val="00DF7F7F"/>
    <w:rsid w:val="00E108AD"/>
    <w:rsid w:val="00E5183A"/>
    <w:rsid w:val="00E5452D"/>
    <w:rsid w:val="00EB0851"/>
    <w:rsid w:val="00EC5791"/>
    <w:rsid w:val="00ED7D0F"/>
    <w:rsid w:val="00F11947"/>
    <w:rsid w:val="00F45767"/>
    <w:rsid w:val="00F65E4C"/>
    <w:rsid w:val="00F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7C73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7C73"/>
    <w:rPr>
      <w:rFonts w:ascii="Times New Roman" w:eastAsia="Arial Unicode MS" w:hAnsi="Times New Roman" w:cs="Times New Roman"/>
      <w:b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unhideWhenUsed/>
    <w:rsid w:val="002C7C7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C7C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C7C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C7C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13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305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9F3C6A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89246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7C73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7C73"/>
    <w:rPr>
      <w:rFonts w:ascii="Times New Roman" w:eastAsia="Arial Unicode MS" w:hAnsi="Times New Roman" w:cs="Times New Roman"/>
      <w:b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unhideWhenUsed/>
    <w:rsid w:val="002C7C7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C7C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C7C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2C7C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13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305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9F3C6A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89246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F90D-5636-41AB-9A76-12064AC2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Koníček Martin</dc:creator>
  <cp:lastModifiedBy>Lipovský Michal</cp:lastModifiedBy>
  <cp:revision>12</cp:revision>
  <cp:lastPrinted>2016-06-27T07:16:00Z</cp:lastPrinted>
  <dcterms:created xsi:type="dcterms:W3CDTF">2016-06-27T07:19:00Z</dcterms:created>
  <dcterms:modified xsi:type="dcterms:W3CDTF">2016-06-29T17:36:00Z</dcterms:modified>
</cp:coreProperties>
</file>