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07" w:rsidRPr="00E460CB" w:rsidRDefault="00D50E07" w:rsidP="00D50E07">
      <w:r w:rsidRPr="00E460CB">
        <w:t xml:space="preserve">Vážený pane, </w:t>
      </w:r>
    </w:p>
    <w:p w:rsidR="00D50E07" w:rsidRDefault="00D50E07" w:rsidP="00D50E07">
      <w:pPr>
        <w:shd w:val="clear" w:color="auto" w:fill="FFFFFF"/>
        <w:spacing w:before="100" w:beforeAutospacing="1" w:line="341" w:lineRule="atLeast"/>
        <w:jc w:val="both"/>
        <w:rPr>
          <w:b/>
          <w:bCs/>
          <w:sz w:val="23"/>
          <w:szCs w:val="23"/>
        </w:rPr>
      </w:pPr>
      <w:r w:rsidRPr="00E460CB">
        <w:t xml:space="preserve">na základě Vaší žádosti o poskytnutí informace dle zákona č. 106/1999 Sb., o svobodném přístupu k informacím ze dne </w:t>
      </w:r>
      <w:proofErr w:type="gramStart"/>
      <w:r w:rsidRPr="00E460CB">
        <w:t>29.11.2017</w:t>
      </w:r>
      <w:proofErr w:type="gramEnd"/>
      <w:r w:rsidRPr="00E460CB">
        <w:t xml:space="preserve"> v záležitosti </w:t>
      </w:r>
      <w:r w:rsidRPr="00E460CB">
        <w:rPr>
          <w:sz w:val="23"/>
          <w:szCs w:val="23"/>
        </w:rPr>
        <w:t xml:space="preserve">poskytnutí informací týkající se veřejné zakázky </w:t>
      </w:r>
      <w:r w:rsidRPr="00E460CB">
        <w:rPr>
          <w:bCs/>
          <w:sz w:val="23"/>
          <w:szCs w:val="23"/>
        </w:rPr>
        <w:t xml:space="preserve">"Síťová infrastruktura (propojení lokalit TC)“, </w:t>
      </w:r>
      <w:r w:rsidRPr="00E460CB">
        <w:rPr>
          <w:sz w:val="23"/>
          <w:szCs w:val="23"/>
        </w:rPr>
        <w:t xml:space="preserve">ev. číslo: 100611, a po jejím zrušení </w:t>
      </w:r>
      <w:r w:rsidRPr="00E460CB">
        <w:rPr>
          <w:bCs/>
          <w:sz w:val="23"/>
          <w:szCs w:val="23"/>
        </w:rPr>
        <w:t>"Síťová infrastruktura 2 (propojení l</w:t>
      </w:r>
      <w:bookmarkStart w:id="0" w:name="_GoBack"/>
      <w:bookmarkEnd w:id="0"/>
      <w:r w:rsidRPr="00E460CB">
        <w:rPr>
          <w:bCs/>
          <w:sz w:val="23"/>
          <w:szCs w:val="23"/>
        </w:rPr>
        <w:t xml:space="preserve">okalit TC)“, </w:t>
      </w:r>
      <w:r w:rsidRPr="00E460CB">
        <w:rPr>
          <w:sz w:val="23"/>
          <w:szCs w:val="23"/>
        </w:rPr>
        <w:t>ev. číslo: 226697, zadavatele Jihomoravský kraj, v rámci projektu IOP výzvy č. 08 „</w:t>
      </w:r>
      <w:proofErr w:type="spellStart"/>
      <w:r w:rsidRPr="00E460CB">
        <w:rPr>
          <w:sz w:val="23"/>
          <w:szCs w:val="23"/>
        </w:rPr>
        <w:t>eGovernment</w:t>
      </w:r>
      <w:proofErr w:type="spellEnd"/>
      <w:r w:rsidRPr="00E460CB">
        <w:rPr>
          <w:sz w:val="23"/>
          <w:szCs w:val="23"/>
        </w:rPr>
        <w:t xml:space="preserve"> v Jihomoravském kraji, část výzvy I. – VI.“ Vám v </w:t>
      </w:r>
      <w:r w:rsidRPr="00E460CB">
        <w:t>souladu s ustanovením § 14 odst. 5 písm. d) zákona č. 106/1999 Sb. poskytuji níže uvedené informace.</w:t>
      </w:r>
      <w:r>
        <w:rPr>
          <w:b/>
          <w:bCs/>
          <w:sz w:val="23"/>
          <w:szCs w:val="23"/>
        </w:rPr>
        <w:t xml:space="preserve">      </w:t>
      </w:r>
    </w:p>
    <w:p w:rsidR="00D50E07" w:rsidRDefault="00D50E07" w:rsidP="00D50E07">
      <w:pPr>
        <w:shd w:val="clear" w:color="auto" w:fill="FFFFFF"/>
        <w:spacing w:before="100" w:beforeAutospacing="1" w:line="341" w:lineRule="atLeast"/>
        <w:jc w:val="both"/>
        <w:rPr>
          <w:b/>
          <w:bCs/>
          <w:sz w:val="23"/>
          <w:szCs w:val="23"/>
        </w:rPr>
      </w:pPr>
    </w:p>
    <w:p w:rsidR="00D50E07" w:rsidRPr="00E460CB" w:rsidRDefault="00D50E07" w:rsidP="00D50E07">
      <w:pPr>
        <w:numPr>
          <w:ilvl w:val="0"/>
          <w:numId w:val="1"/>
        </w:numPr>
        <w:shd w:val="clear" w:color="auto" w:fill="FFFFFF"/>
        <w:spacing w:before="100" w:beforeAutospacing="1" w:line="341" w:lineRule="atLeast"/>
        <w:ind w:left="284" w:hanging="284"/>
        <w:jc w:val="both"/>
        <w:rPr>
          <w:rFonts w:cs="Calibri"/>
          <w:b/>
          <w:bCs/>
        </w:rPr>
      </w:pPr>
      <w:r w:rsidRPr="00E460CB">
        <w:rPr>
          <w:rFonts w:cs="Calibri"/>
          <w:b/>
          <w:bCs/>
        </w:rPr>
        <w:t>Dovoluji si požádat o sdělení všech relevantních údajů o proplácení výdajů na výše uvedenou veřejnou zakázku, a to jak z finančních prostředků České republiky, tak Evropské unie.</w:t>
      </w:r>
    </w:p>
    <w:p w:rsidR="00D50E07" w:rsidRPr="00E460CB" w:rsidRDefault="00D50E07" w:rsidP="00D50E07">
      <w:pPr>
        <w:shd w:val="clear" w:color="auto" w:fill="FFFFFF"/>
        <w:spacing w:before="100" w:beforeAutospacing="1" w:line="360" w:lineRule="auto"/>
        <w:ind w:left="284"/>
        <w:jc w:val="both"/>
        <w:rPr>
          <w:rFonts w:cs="Calibri"/>
          <w:bCs/>
        </w:rPr>
      </w:pPr>
      <w:r w:rsidRPr="00E460CB">
        <w:rPr>
          <w:rFonts w:cs="Calibri"/>
          <w:bCs/>
        </w:rPr>
        <w:t xml:space="preserve">Vybraným dodavatelem veřejné zakázky „Síťová infrastruktura 2 (propojení lokalit TC) se stala firma Telefónica Czech Republic, a.s., IČO 60193336 (smlouva s vítězným uchazečem byla podepsána dne </w:t>
      </w:r>
      <w:proofErr w:type="gramStart"/>
      <w:r w:rsidRPr="00E460CB">
        <w:rPr>
          <w:rFonts w:cs="Calibri"/>
          <w:bCs/>
        </w:rPr>
        <w:t>25.7.2013</w:t>
      </w:r>
      <w:proofErr w:type="gramEnd"/>
      <w:r w:rsidRPr="00E460CB">
        <w:rPr>
          <w:rFonts w:cs="Calibri"/>
          <w:bCs/>
        </w:rPr>
        <w:t xml:space="preserve">, přičemž později firma Telefónica Czech Republic změnila svůj název na O2 Czech Republic, </w:t>
      </w:r>
      <w:proofErr w:type="spellStart"/>
      <w:r w:rsidRPr="00E460CB">
        <w:rPr>
          <w:rFonts w:cs="Calibri"/>
          <w:bCs/>
        </w:rPr>
        <w:t>a.s</w:t>
      </w:r>
      <w:proofErr w:type="spellEnd"/>
      <w:r w:rsidRPr="00E460CB">
        <w:rPr>
          <w:rFonts w:cs="Calibri"/>
          <w:bCs/>
        </w:rPr>
        <w:t xml:space="preserve">), jejíž nabídková cena činila 8.470.300,00 Kč bez DPH (10.249.063,00 Kč vč. DPH). Firma dne </w:t>
      </w:r>
      <w:proofErr w:type="gramStart"/>
      <w:r w:rsidRPr="00E460CB">
        <w:rPr>
          <w:rFonts w:cs="Calibri"/>
          <w:bCs/>
        </w:rPr>
        <w:t>29.12.2014</w:t>
      </w:r>
      <w:proofErr w:type="gramEnd"/>
      <w:r w:rsidRPr="00E460CB">
        <w:rPr>
          <w:rFonts w:cs="Calibri"/>
          <w:bCs/>
        </w:rPr>
        <w:t xml:space="preserve"> vystavila fakturu na částku 10.249.063,00 Kč vč. DPH. Faktu</w:t>
      </w:r>
      <w:r>
        <w:rPr>
          <w:rFonts w:cs="Calibri"/>
          <w:bCs/>
        </w:rPr>
        <w:t xml:space="preserve">ra byla uhrazena dne </w:t>
      </w:r>
      <w:proofErr w:type="gramStart"/>
      <w:r>
        <w:rPr>
          <w:rFonts w:cs="Calibri"/>
          <w:bCs/>
        </w:rPr>
        <w:t>27.1.2015</w:t>
      </w:r>
      <w:proofErr w:type="gramEnd"/>
      <w:r>
        <w:rPr>
          <w:rFonts w:cs="Calibri"/>
          <w:bCs/>
        </w:rPr>
        <w:t>.</w:t>
      </w:r>
    </w:p>
    <w:p w:rsidR="00D50E07" w:rsidRDefault="00D50E07" w:rsidP="00D50E07">
      <w:pPr>
        <w:shd w:val="clear" w:color="auto" w:fill="FFFFFF"/>
        <w:spacing w:after="0" w:line="360" w:lineRule="auto"/>
        <w:ind w:left="284"/>
        <w:jc w:val="both"/>
        <w:rPr>
          <w:rFonts w:cs="Calibri"/>
          <w:bCs/>
        </w:rPr>
      </w:pPr>
      <w:r w:rsidRPr="00E460CB">
        <w:rPr>
          <w:rFonts w:cs="Calibri"/>
          <w:bCs/>
        </w:rPr>
        <w:t>Faktura byla vyplacena s následujícím rozpadem financování:</w:t>
      </w:r>
    </w:p>
    <w:p w:rsidR="00D50E07" w:rsidRDefault="00D50E07" w:rsidP="00D50E07">
      <w:pPr>
        <w:shd w:val="clear" w:color="auto" w:fill="FFFFFF"/>
        <w:spacing w:after="0" w:line="240" w:lineRule="auto"/>
        <w:ind w:left="284"/>
        <w:jc w:val="both"/>
        <w:rPr>
          <w:rFonts w:cs="Calibri"/>
          <w:bCs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1755"/>
      </w:tblGrid>
      <w:tr w:rsidR="00D50E07" w:rsidRPr="00E460CB" w:rsidTr="00133C7B">
        <w:tc>
          <w:tcPr>
            <w:tcW w:w="0" w:type="auto"/>
            <w:shd w:val="clear" w:color="auto" w:fill="auto"/>
          </w:tcPr>
          <w:p w:rsidR="00D50E07" w:rsidRPr="00020C60" w:rsidRDefault="00D50E07" w:rsidP="00133C7B">
            <w:pPr>
              <w:spacing w:after="0" w:line="240" w:lineRule="auto"/>
              <w:rPr>
                <w:b/>
              </w:rPr>
            </w:pPr>
            <w:r w:rsidRPr="00020C60">
              <w:rPr>
                <w:b/>
              </w:rPr>
              <w:t>Druh dotace / zdroje spolufinancování</w:t>
            </w:r>
          </w:p>
        </w:tc>
        <w:tc>
          <w:tcPr>
            <w:tcW w:w="0" w:type="auto"/>
            <w:shd w:val="clear" w:color="auto" w:fill="auto"/>
          </w:tcPr>
          <w:p w:rsidR="00D50E07" w:rsidRPr="00E460CB" w:rsidRDefault="00D50E07" w:rsidP="00133C7B">
            <w:pPr>
              <w:spacing w:after="0" w:line="240" w:lineRule="auto"/>
            </w:pPr>
            <w:r w:rsidRPr="00E460CB">
              <w:t>Kč</w:t>
            </w:r>
          </w:p>
        </w:tc>
      </w:tr>
      <w:tr w:rsidR="00D50E07" w:rsidRPr="00E460CB" w:rsidTr="00133C7B">
        <w:tc>
          <w:tcPr>
            <w:tcW w:w="0" w:type="auto"/>
            <w:shd w:val="clear" w:color="auto" w:fill="auto"/>
          </w:tcPr>
          <w:p w:rsidR="00D50E07" w:rsidRPr="00E460CB" w:rsidRDefault="00D50E07" w:rsidP="00133C7B">
            <w:pPr>
              <w:spacing w:after="0" w:line="240" w:lineRule="auto"/>
            </w:pPr>
            <w:r w:rsidRPr="00E460CB">
              <w:t>Dotace ze strukturálního fondu ERDF</w:t>
            </w:r>
          </w:p>
        </w:tc>
        <w:tc>
          <w:tcPr>
            <w:tcW w:w="0" w:type="auto"/>
            <w:shd w:val="clear" w:color="auto" w:fill="auto"/>
          </w:tcPr>
          <w:p w:rsidR="00D50E07" w:rsidRPr="00E460CB" w:rsidRDefault="00D50E07" w:rsidP="00133C7B">
            <w:pPr>
              <w:spacing w:after="0" w:line="240" w:lineRule="auto"/>
              <w:jc w:val="right"/>
            </w:pPr>
            <w:r w:rsidRPr="00E460CB">
              <w:t>8.710.063,00 Kč</w:t>
            </w:r>
          </w:p>
        </w:tc>
      </w:tr>
      <w:tr w:rsidR="00D50E07" w:rsidRPr="00E460CB" w:rsidTr="00133C7B">
        <w:tc>
          <w:tcPr>
            <w:tcW w:w="0" w:type="auto"/>
            <w:shd w:val="clear" w:color="auto" w:fill="auto"/>
          </w:tcPr>
          <w:p w:rsidR="00D50E07" w:rsidRPr="00E460CB" w:rsidRDefault="00D50E07" w:rsidP="00133C7B">
            <w:pPr>
              <w:spacing w:after="0" w:line="240" w:lineRule="auto"/>
            </w:pPr>
            <w:r w:rsidRPr="00E460CB">
              <w:t>Národní veřejné zdroje – krajské</w:t>
            </w:r>
          </w:p>
        </w:tc>
        <w:tc>
          <w:tcPr>
            <w:tcW w:w="0" w:type="auto"/>
            <w:shd w:val="clear" w:color="auto" w:fill="auto"/>
          </w:tcPr>
          <w:p w:rsidR="00D50E07" w:rsidRPr="00E460CB" w:rsidRDefault="00D50E07" w:rsidP="00133C7B">
            <w:pPr>
              <w:spacing w:after="0" w:line="240" w:lineRule="auto"/>
              <w:jc w:val="right"/>
            </w:pPr>
            <w:r w:rsidRPr="00E460CB">
              <w:t>1.539.000,00 Kč</w:t>
            </w:r>
          </w:p>
        </w:tc>
      </w:tr>
      <w:tr w:rsidR="00D50E07" w:rsidRPr="00E460CB" w:rsidTr="00133C7B">
        <w:tc>
          <w:tcPr>
            <w:tcW w:w="0" w:type="auto"/>
            <w:shd w:val="clear" w:color="auto" w:fill="auto"/>
          </w:tcPr>
          <w:p w:rsidR="00D50E07" w:rsidRPr="00E460CB" w:rsidRDefault="00D50E07" w:rsidP="00133C7B">
            <w:pPr>
              <w:spacing w:after="0" w:line="240" w:lineRule="auto"/>
            </w:pPr>
            <w:r w:rsidRPr="00E460CB">
              <w:t>Celkové výdaje</w:t>
            </w:r>
          </w:p>
        </w:tc>
        <w:tc>
          <w:tcPr>
            <w:tcW w:w="0" w:type="auto"/>
            <w:shd w:val="clear" w:color="auto" w:fill="auto"/>
          </w:tcPr>
          <w:p w:rsidR="00D50E07" w:rsidRPr="00E460CB" w:rsidRDefault="00D50E07" w:rsidP="00133C7B">
            <w:pPr>
              <w:spacing w:after="0" w:line="240" w:lineRule="auto"/>
              <w:jc w:val="right"/>
            </w:pPr>
            <w:r w:rsidRPr="00E460CB">
              <w:t>10.249.063,00 Kč</w:t>
            </w:r>
          </w:p>
        </w:tc>
      </w:tr>
    </w:tbl>
    <w:p w:rsidR="00D50E07" w:rsidRPr="004A4073" w:rsidRDefault="00D50E07" w:rsidP="00D50E07">
      <w:pPr>
        <w:shd w:val="clear" w:color="auto" w:fill="FFFFFF"/>
        <w:spacing w:after="0" w:line="240" w:lineRule="auto"/>
        <w:ind w:left="284"/>
        <w:jc w:val="both"/>
        <w:rPr>
          <w:rFonts w:cs="Calibri"/>
          <w:bCs/>
        </w:rPr>
      </w:pPr>
    </w:p>
    <w:p w:rsidR="00D50E07" w:rsidRPr="00E460CB" w:rsidRDefault="00D50E07" w:rsidP="00D50E07">
      <w:pPr>
        <w:numPr>
          <w:ilvl w:val="0"/>
          <w:numId w:val="1"/>
        </w:numPr>
        <w:shd w:val="clear" w:color="auto" w:fill="FFFFFF"/>
        <w:spacing w:before="100" w:beforeAutospacing="1" w:line="341" w:lineRule="atLeast"/>
        <w:ind w:left="284" w:hanging="284"/>
        <w:jc w:val="both"/>
        <w:rPr>
          <w:rFonts w:cs="Calibri"/>
          <w:b/>
          <w:bCs/>
        </w:rPr>
      </w:pPr>
      <w:r w:rsidRPr="00E460CB">
        <w:rPr>
          <w:rFonts w:cs="Calibri"/>
          <w:b/>
          <w:bCs/>
        </w:rPr>
        <w:t>V souvislosti s předchozí otázkou si Vás dovoluji požádat o poskytnutí veškerých souvisejících dokumentů, zejména dokumentů obsahujících údaje o průběhu financ</w:t>
      </w:r>
      <w:r>
        <w:rPr>
          <w:rFonts w:cs="Calibri"/>
          <w:b/>
          <w:bCs/>
        </w:rPr>
        <w:t>ování předmětné veřejné zakázky.</w:t>
      </w:r>
    </w:p>
    <w:p w:rsidR="00D50E07" w:rsidRPr="00E460CB" w:rsidRDefault="00D50E07" w:rsidP="00D50E07">
      <w:pPr>
        <w:spacing w:line="360" w:lineRule="auto"/>
        <w:ind w:left="284"/>
        <w:jc w:val="both"/>
      </w:pPr>
      <w:r>
        <w:t>P</w:t>
      </w:r>
      <w:r w:rsidRPr="00E460CB">
        <w:t xml:space="preserve">řílohou </w:t>
      </w:r>
      <w:r>
        <w:t>Vám zasíláme</w:t>
      </w:r>
      <w:r w:rsidRPr="00E460CB">
        <w:t xml:space="preserve"> </w:t>
      </w:r>
      <w:r>
        <w:t>fakturu</w:t>
      </w:r>
      <w:r w:rsidRPr="00E460CB">
        <w:t xml:space="preserve"> č. 2014106356 od společnosti O2 Czech Republic a.s. na částku 10.249.063,00 Kč ze dne </w:t>
      </w:r>
      <w:proofErr w:type="gramStart"/>
      <w:r w:rsidRPr="00E460CB">
        <w:t>29.12.2014</w:t>
      </w:r>
      <w:proofErr w:type="gramEnd"/>
      <w:r w:rsidRPr="00E460CB">
        <w:t xml:space="preserve"> (na základě smlouvy o dílo ze dne 25.7.2013 za dodávku realizovanou v rámci projektu „</w:t>
      </w:r>
      <w:proofErr w:type="spellStart"/>
      <w:r w:rsidRPr="00E460CB">
        <w:t>eGovernment</w:t>
      </w:r>
      <w:proofErr w:type="spellEnd"/>
      <w:r>
        <w:t xml:space="preserve"> v kraji, část výzvy I. – VI.“ e</w:t>
      </w:r>
      <w:r w:rsidRPr="00E460CB">
        <w:t>v. č. CZ.1.06/2.1.00/08.07386)</w:t>
      </w:r>
      <w:r>
        <w:t xml:space="preserve">. Smlouva o dílo ze dne </w:t>
      </w:r>
      <w:proofErr w:type="gramStart"/>
      <w:r>
        <w:t>25.7.2013</w:t>
      </w:r>
      <w:proofErr w:type="gramEnd"/>
      <w:r>
        <w:t xml:space="preserve"> se společností </w:t>
      </w:r>
      <w:r w:rsidRPr="00B20643">
        <w:t xml:space="preserve">Telefónica Czech Republic (resp. O2 Czech Republic) je uveřejněna na profilu zadavatele u </w:t>
      </w:r>
      <w:r w:rsidRPr="00E460CB">
        <w:t>veřejné zakázky „Síťová infrastruktura 2 (propojení lokalit TC), ev. číslo: 226697.</w:t>
      </w:r>
      <w:r>
        <w:t xml:space="preserve"> Faktura byla uhrazena jednorázově dne </w:t>
      </w:r>
      <w:proofErr w:type="gramStart"/>
      <w:r>
        <w:t>27.1.2015</w:t>
      </w:r>
      <w:proofErr w:type="gramEnd"/>
      <w:r>
        <w:t>.</w:t>
      </w:r>
    </w:p>
    <w:p w:rsidR="00D50E07" w:rsidRDefault="00D50E07" w:rsidP="00D50E07">
      <w:pPr>
        <w:spacing w:line="360" w:lineRule="auto"/>
        <w:contextualSpacing/>
        <w:jc w:val="both"/>
      </w:pPr>
    </w:p>
    <w:p w:rsidR="00D50E07" w:rsidRPr="004A4073" w:rsidRDefault="00D50E07" w:rsidP="00D50E07">
      <w:pPr>
        <w:numPr>
          <w:ilvl w:val="0"/>
          <w:numId w:val="1"/>
        </w:numPr>
        <w:shd w:val="clear" w:color="auto" w:fill="FFFFFF"/>
        <w:spacing w:before="100" w:beforeAutospacing="1" w:line="341" w:lineRule="atLeast"/>
        <w:ind w:left="284" w:hanging="284"/>
        <w:jc w:val="both"/>
        <w:rPr>
          <w:rFonts w:cs="Calibri"/>
          <w:b/>
          <w:bCs/>
        </w:rPr>
      </w:pPr>
      <w:r>
        <w:rPr>
          <w:b/>
          <w:bCs/>
          <w:sz w:val="23"/>
          <w:szCs w:val="23"/>
        </w:rPr>
        <w:t>Dále si dovoluji požádat o sdělení, zda u výše uvedené veřejné zakázky byla pozastavena certifikace. Prosím o případné sdělení, zdali k tomuto opatření došlo a zda toto opatření stále trvá.</w:t>
      </w:r>
    </w:p>
    <w:p w:rsidR="00D50E07" w:rsidRDefault="00D50E07" w:rsidP="00D50E07">
      <w:pPr>
        <w:spacing w:line="360" w:lineRule="auto"/>
        <w:ind w:left="284"/>
        <w:jc w:val="both"/>
      </w:pPr>
      <w:r>
        <w:lastRenderedPageBreak/>
        <w:t>Certifikaci</w:t>
      </w:r>
      <w:r w:rsidRPr="00E460CB">
        <w:t xml:space="preserve"> provádí </w:t>
      </w:r>
      <w:r>
        <w:t xml:space="preserve">poskytovatel dotace, resp. Řídící orgán daného Operačního programu </w:t>
      </w:r>
      <w:r w:rsidRPr="00E460CB">
        <w:t>(v případě projektu „</w:t>
      </w:r>
      <w:proofErr w:type="spellStart"/>
      <w:r w:rsidRPr="00E460CB">
        <w:t>eGovernment</w:t>
      </w:r>
      <w:proofErr w:type="spellEnd"/>
      <w:r w:rsidRPr="00E460CB">
        <w:t xml:space="preserve"> v Jihomoravském kraji, část výzvy I. – VI.“ jím bylo Ministerstvo pro místní rozvoj České republiky). Jihomoravsk</w:t>
      </w:r>
      <w:r>
        <w:t>ý</w:t>
      </w:r>
      <w:r w:rsidRPr="00E460CB">
        <w:t xml:space="preserve"> kraji jakožto příjemc</w:t>
      </w:r>
      <w:r>
        <w:t xml:space="preserve">e dotace nemá o </w:t>
      </w:r>
      <w:r w:rsidRPr="00E460CB">
        <w:t xml:space="preserve">pozastavení certifikace </w:t>
      </w:r>
      <w:r>
        <w:t>žádné informace</w:t>
      </w:r>
      <w:r w:rsidRPr="00E460CB">
        <w:t>.</w:t>
      </w:r>
    </w:p>
    <w:p w:rsidR="00D50E07" w:rsidRDefault="00D50E07" w:rsidP="00D50E07">
      <w:pPr>
        <w:pStyle w:val="textdopisu"/>
        <w:spacing w:line="240" w:lineRule="auto"/>
        <w:ind w:left="1134" w:hanging="1134"/>
        <w:jc w:val="left"/>
      </w:pPr>
    </w:p>
    <w:p w:rsidR="00D50E07" w:rsidRDefault="00D50E07" w:rsidP="00D50E07">
      <w:pPr>
        <w:pStyle w:val="textdopisu"/>
        <w:spacing w:line="240" w:lineRule="auto"/>
        <w:ind w:left="1134" w:hanging="1134"/>
        <w:jc w:val="left"/>
      </w:pPr>
    </w:p>
    <w:p w:rsidR="00D50E07" w:rsidRDefault="00D50E07" w:rsidP="00D50E07">
      <w:pPr>
        <w:pStyle w:val="textdopisu"/>
        <w:spacing w:line="240" w:lineRule="auto"/>
        <w:ind w:left="1134" w:hanging="1134"/>
        <w:jc w:val="left"/>
      </w:pPr>
    </w:p>
    <w:p w:rsidR="00D50E07" w:rsidRDefault="00D50E07" w:rsidP="00D50E07">
      <w:pPr>
        <w:pStyle w:val="textdopisu"/>
        <w:spacing w:line="240" w:lineRule="auto"/>
        <w:ind w:left="1134" w:hanging="1134"/>
        <w:jc w:val="left"/>
      </w:pPr>
    </w:p>
    <w:p w:rsidR="00D50E07" w:rsidRDefault="00D50E07" w:rsidP="00D50E07">
      <w:pPr>
        <w:pStyle w:val="textdopisu"/>
        <w:spacing w:line="240" w:lineRule="auto"/>
        <w:ind w:left="1134" w:hanging="1134"/>
        <w:jc w:val="left"/>
      </w:pPr>
    </w:p>
    <w:p w:rsidR="00D50E07" w:rsidRDefault="00D50E07" w:rsidP="00D50E07">
      <w:pPr>
        <w:spacing w:after="0" w:line="240" w:lineRule="auto"/>
        <w:ind w:left="284"/>
        <w:jc w:val="both"/>
      </w:pPr>
    </w:p>
    <w:p w:rsidR="00D50E07" w:rsidRPr="00B20643" w:rsidRDefault="00D50E07" w:rsidP="00D50E07">
      <w:pPr>
        <w:spacing w:after="0" w:line="240" w:lineRule="auto"/>
        <w:ind w:left="284"/>
        <w:jc w:val="both"/>
        <w:rPr>
          <w:b/>
          <w:u w:val="single"/>
        </w:rPr>
      </w:pPr>
      <w:r w:rsidRPr="00B20643">
        <w:rPr>
          <w:b/>
          <w:u w:val="single"/>
        </w:rPr>
        <w:t>Přílohy:</w:t>
      </w:r>
    </w:p>
    <w:p w:rsidR="00D50E07" w:rsidRDefault="00D50E07" w:rsidP="00D50E07">
      <w:pPr>
        <w:numPr>
          <w:ilvl w:val="0"/>
          <w:numId w:val="2"/>
        </w:numPr>
        <w:spacing w:after="0" w:line="240" w:lineRule="auto"/>
        <w:jc w:val="both"/>
      </w:pPr>
      <w:r>
        <w:t>Faktura</w:t>
      </w:r>
      <w:r w:rsidRPr="00E460CB">
        <w:t xml:space="preserve"> č. 2014106356 od společnosti O2 Czech Republic a.s. ze dne </w:t>
      </w:r>
      <w:proofErr w:type="gramStart"/>
      <w:r w:rsidRPr="00E460CB">
        <w:t>29.12.2014</w:t>
      </w:r>
      <w:proofErr w:type="gramEnd"/>
    </w:p>
    <w:p w:rsidR="00D50E07" w:rsidRDefault="00D50E07" w:rsidP="00D50E07">
      <w:pPr>
        <w:spacing w:after="0" w:line="240" w:lineRule="auto"/>
        <w:ind w:left="284"/>
        <w:jc w:val="both"/>
      </w:pPr>
    </w:p>
    <w:p w:rsidR="00804A4D" w:rsidRDefault="00554A2E"/>
    <w:sectPr w:rsidR="00804A4D" w:rsidSect="00F81CF0">
      <w:footerReference w:type="default" r:id="rId8"/>
      <w:footerReference w:type="first" r:id="rId9"/>
      <w:pgSz w:w="11906" w:h="16838" w:code="9"/>
      <w:pgMar w:top="953" w:right="1134" w:bottom="1134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2E" w:rsidRDefault="00554A2E" w:rsidP="00554A2E">
      <w:pPr>
        <w:spacing w:after="0" w:line="240" w:lineRule="auto"/>
      </w:pPr>
      <w:r>
        <w:separator/>
      </w:r>
    </w:p>
  </w:endnote>
  <w:endnote w:type="continuationSeparator" w:id="0">
    <w:p w:rsidR="00554A2E" w:rsidRDefault="00554A2E" w:rsidP="0055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CBD" w:rsidRPr="002B69F3" w:rsidRDefault="00554A2E" w:rsidP="00D93B67">
    <w:pPr>
      <w:pStyle w:val="Zpat"/>
      <w:jc w:val="center"/>
    </w:pPr>
    <w:r w:rsidRPr="002B69F3">
      <w:fldChar w:fldCharType="begin"/>
    </w:r>
    <w:r w:rsidRPr="002B69F3">
      <w:instrText xml:space="preserve"> PAGE   \* MERGEFORMAT </w:instrText>
    </w:r>
    <w:r w:rsidRPr="002B69F3">
      <w:fldChar w:fldCharType="separate"/>
    </w:r>
    <w:r>
      <w:rPr>
        <w:noProof/>
      </w:rPr>
      <w:t>2</w:t>
    </w:r>
    <w:r w:rsidRPr="002B69F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C44CBD" w:rsidRPr="00D93B67" w:rsidTr="00E50E00">
      <w:trPr>
        <w:jc w:val="center"/>
      </w:trPr>
      <w:tc>
        <w:tcPr>
          <w:tcW w:w="1209" w:type="dxa"/>
        </w:tcPr>
        <w:p w:rsidR="00C44CBD" w:rsidRPr="00D93B67" w:rsidRDefault="00554A2E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:rsidR="00C44CBD" w:rsidRPr="00D93B67" w:rsidRDefault="00554A2E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:rsidR="00C44CBD" w:rsidRPr="00D93B67" w:rsidRDefault="00554A2E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:rsidR="00C44CBD" w:rsidRPr="00D93B67" w:rsidRDefault="00554A2E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:rsidR="00C44CBD" w:rsidRPr="00D93B67" w:rsidRDefault="00554A2E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:rsidR="00C44CBD" w:rsidRPr="00D93B67" w:rsidRDefault="00554A2E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C44CBD" w:rsidRPr="00D93B67" w:rsidTr="00E50E00">
      <w:trPr>
        <w:jc w:val="center"/>
      </w:trPr>
      <w:tc>
        <w:tcPr>
          <w:tcW w:w="1209" w:type="dxa"/>
        </w:tcPr>
        <w:p w:rsidR="00C44CBD" w:rsidRPr="00D93B67" w:rsidRDefault="00554A2E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:rsidR="00C44CBD" w:rsidRPr="00D93B67" w:rsidRDefault="00554A2E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:rsidR="00C44CBD" w:rsidRPr="00D93B67" w:rsidRDefault="00554A2E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541 651 111</w:t>
          </w:r>
        </w:p>
      </w:tc>
      <w:tc>
        <w:tcPr>
          <w:tcW w:w="1210" w:type="dxa"/>
        </w:tcPr>
        <w:p w:rsidR="00C44CBD" w:rsidRPr="00D93B67" w:rsidRDefault="00554A2E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541 651 209</w:t>
          </w:r>
        </w:p>
      </w:tc>
      <w:tc>
        <w:tcPr>
          <w:tcW w:w="2475" w:type="dxa"/>
        </w:tcPr>
        <w:p w:rsidR="00C44CBD" w:rsidRPr="00D93B67" w:rsidRDefault="00554A2E" w:rsidP="00287AA3">
          <w:pPr>
            <w:pStyle w:val="Zpat"/>
            <w:rPr>
              <w:sz w:val="18"/>
              <w:szCs w:val="18"/>
            </w:rPr>
          </w:pPr>
          <w:hyperlink r:id="rId1" w:history="1">
            <w:r w:rsidRPr="00D93B67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:rsidR="00C44CBD" w:rsidRPr="00D93B67" w:rsidRDefault="00554A2E" w:rsidP="00287AA3">
          <w:pPr>
            <w:pStyle w:val="Zpat"/>
            <w:rPr>
              <w:sz w:val="18"/>
              <w:szCs w:val="18"/>
            </w:rPr>
          </w:pPr>
          <w:hyperlink r:id="rId2" w:history="1">
            <w:r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Pr="00D93B67">
            <w:rPr>
              <w:sz w:val="18"/>
              <w:szCs w:val="18"/>
            </w:rPr>
            <w:t xml:space="preserve"> </w:t>
          </w:r>
        </w:p>
      </w:tc>
    </w:tr>
  </w:tbl>
  <w:p w:rsidR="00C44CBD" w:rsidRPr="004F5703" w:rsidRDefault="00554A2E" w:rsidP="009A73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2E" w:rsidRDefault="00554A2E" w:rsidP="00554A2E">
      <w:pPr>
        <w:spacing w:after="0" w:line="240" w:lineRule="auto"/>
      </w:pPr>
      <w:r>
        <w:separator/>
      </w:r>
    </w:p>
  </w:footnote>
  <w:footnote w:type="continuationSeparator" w:id="0">
    <w:p w:rsidR="00554A2E" w:rsidRDefault="00554A2E" w:rsidP="00554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0641"/>
    <w:multiLevelType w:val="hybridMultilevel"/>
    <w:tmpl w:val="E1CE5A06"/>
    <w:lvl w:ilvl="0" w:tplc="07B28940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4D17FCB"/>
    <w:multiLevelType w:val="hybridMultilevel"/>
    <w:tmpl w:val="151C4F8C"/>
    <w:lvl w:ilvl="0" w:tplc="EA1A6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07"/>
    <w:rsid w:val="00554A2E"/>
    <w:rsid w:val="009B1949"/>
    <w:rsid w:val="00D50E07"/>
    <w:rsid w:val="00D7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0E0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0E0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5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0E07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D50E07"/>
    <w:rPr>
      <w:color w:val="0000FF"/>
      <w:u w:val="single"/>
    </w:rPr>
  </w:style>
  <w:style w:type="paragraph" w:customStyle="1" w:styleId="textdopisu">
    <w:name w:val="text dopisu"/>
    <w:basedOn w:val="Normln"/>
    <w:rsid w:val="00D50E07"/>
    <w:pPr>
      <w:spacing w:after="0" w:line="288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E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0E0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0E0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5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0E07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D50E07"/>
    <w:rPr>
      <w:color w:val="0000FF"/>
      <w:u w:val="single"/>
    </w:rPr>
  </w:style>
  <w:style w:type="paragraph" w:customStyle="1" w:styleId="textdopisu">
    <w:name w:val="text dopisu"/>
    <w:basedOn w:val="Normln"/>
    <w:rsid w:val="00D50E07"/>
    <w:pPr>
      <w:spacing w:after="0" w:line="288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E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Bobková Zdena</dc:creator>
  <cp:lastModifiedBy>Bobková Zdena</cp:lastModifiedBy>
  <cp:revision>2</cp:revision>
  <dcterms:created xsi:type="dcterms:W3CDTF">2017-12-14T15:39:00Z</dcterms:created>
  <dcterms:modified xsi:type="dcterms:W3CDTF">2017-12-14T15:40:00Z</dcterms:modified>
</cp:coreProperties>
</file>